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7347" w14:textId="1FFA3ADD" w:rsidR="00384DED" w:rsidRDefault="00FF6361" w:rsidP="00FF6361">
      <w:pPr>
        <w:jc w:val="center"/>
      </w:pPr>
      <w:r w:rsidRPr="00D95733">
        <w:rPr>
          <w:rStyle w:val="Heading2Char"/>
          <w:rFonts w:eastAsiaTheme="majorEastAsia" w:cstheme="minorHAnsi"/>
          <w:noProof/>
          <w:sz w:val="96"/>
          <w:szCs w:val="96"/>
        </w:rPr>
        <w:drawing>
          <wp:inline distT="0" distB="0" distL="0" distR="0" wp14:anchorId="5DB0E7A8" wp14:editId="57DB03A8">
            <wp:extent cx="1152525" cy="815297"/>
            <wp:effectExtent l="19050" t="19050" r="9525" b="23495"/>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9286" cy="834228"/>
                    </a:xfrm>
                    <a:prstGeom prst="rect">
                      <a:avLst/>
                    </a:prstGeom>
                    <a:noFill/>
                    <a:ln>
                      <a:solidFill>
                        <a:schemeClr val="tx1"/>
                      </a:solidFill>
                    </a:ln>
                    <a:effectLst>
                      <a:softEdge rad="0"/>
                    </a:effectLst>
                  </pic:spPr>
                </pic:pic>
              </a:graphicData>
            </a:graphic>
          </wp:inline>
        </w:drawing>
      </w:r>
    </w:p>
    <w:p w14:paraId="517C3DE6" w14:textId="05F861EF" w:rsidR="00FF6361" w:rsidRDefault="00FF6361" w:rsidP="00AD64F5">
      <w:pPr>
        <w:pStyle w:val="Title"/>
        <w:jc w:val="center"/>
      </w:pPr>
      <w:r>
        <w:t>Reserves Policy</w:t>
      </w:r>
      <w:r w:rsidR="0049788F">
        <w:t xml:space="preserve"> 202</w:t>
      </w:r>
      <w:r w:rsidR="00A51E5A">
        <w:t>4</w:t>
      </w:r>
      <w:r w:rsidR="0049788F">
        <w:t>-2</w:t>
      </w:r>
      <w:r w:rsidR="00A51E5A">
        <w:t>5</w:t>
      </w:r>
    </w:p>
    <w:p w14:paraId="6B1CC18C" w14:textId="055211DB" w:rsidR="00FF6361" w:rsidRDefault="00FF6361" w:rsidP="00FF6361">
      <w:pPr>
        <w:pStyle w:val="Heading1"/>
      </w:pPr>
      <w:r>
        <w:t>Introduction</w:t>
      </w:r>
    </w:p>
    <w:p w14:paraId="4B08F3D4" w14:textId="65E9C5E3" w:rsidR="00FF6361" w:rsidRDefault="00FF6361" w:rsidP="00FF6361">
      <w:pPr>
        <w:ind w:left="-5"/>
      </w:pPr>
      <w:r w:rsidRPr="00FF6361">
        <w:t>As well as managing "operational" budgets on a year-to-year basis, the Parish</w:t>
      </w:r>
      <w:r>
        <w:t xml:space="preserve"> </w:t>
      </w:r>
      <w:r w:rsidRPr="00FF6361">
        <w:t xml:space="preserve">Council </w:t>
      </w:r>
      <w:r w:rsidR="00C109D5">
        <w:t xml:space="preserve">must also </w:t>
      </w:r>
      <w:r w:rsidRPr="00FF6361">
        <w:t xml:space="preserve">manage its sustainable long-term future. This document explains how this would be achieved. </w:t>
      </w:r>
    </w:p>
    <w:p w14:paraId="398521B2" w14:textId="1CB257AC" w:rsidR="0036773C" w:rsidRDefault="00ED2A9C" w:rsidP="00FF6361">
      <w:pPr>
        <w:ind w:left="-5"/>
      </w:pPr>
      <w:r>
        <w:t xml:space="preserve">The Council reviewed </w:t>
      </w:r>
      <w:r w:rsidR="0066047E">
        <w:t>the status of all reserves between</w:t>
      </w:r>
      <w:r w:rsidR="00C109D5">
        <w:t xml:space="preserve"> October and December </w:t>
      </w:r>
      <w:r w:rsidR="00E21F94">
        <w:t>2023</w:t>
      </w:r>
      <w:r w:rsidR="00EF57DC">
        <w:t>,</w:t>
      </w:r>
      <w:r w:rsidR="00E21F94">
        <w:t xml:space="preserve"> with reference to the </w:t>
      </w:r>
      <w:r w:rsidR="007D4132">
        <w:t xml:space="preserve">proper practice of the governance and </w:t>
      </w:r>
      <w:r w:rsidR="00AE208F">
        <w:t>accountability</w:t>
      </w:r>
      <w:r w:rsidR="007D4132">
        <w:t xml:space="preserve"> of smaller authorities as </w:t>
      </w:r>
      <w:r w:rsidR="00E21F94">
        <w:t>laid out in the</w:t>
      </w:r>
      <w:r w:rsidR="00EF57DC">
        <w:t xml:space="preserve"> NALC </w:t>
      </w:r>
      <w:r w:rsidR="00EF57DC" w:rsidRPr="00D129E8">
        <w:rPr>
          <w:i/>
          <w:iCs/>
        </w:rPr>
        <w:t>Joint Panel on Accountability and Governance Pracitioner’s Guide</w:t>
      </w:r>
      <w:r w:rsidR="00EF57DC">
        <w:rPr>
          <w:i/>
          <w:iCs/>
        </w:rPr>
        <w:t xml:space="preserve"> March 2023</w:t>
      </w:r>
      <w:r w:rsidR="008576B9">
        <w:rPr>
          <w:i/>
          <w:iCs/>
        </w:rPr>
        <w:t xml:space="preserve">, </w:t>
      </w:r>
      <w:r w:rsidR="00AE208F" w:rsidRPr="00AE208F">
        <w:t>to</w:t>
      </w:r>
      <w:r w:rsidR="00AE208F">
        <w:t xml:space="preserve"> fulfil the </w:t>
      </w:r>
      <w:r w:rsidR="0036773C" w:rsidRPr="00AE208F">
        <w:t>principles of the Annual Governance Statement Assertion 1</w:t>
      </w:r>
      <w:r w:rsidR="008576B9">
        <w:t xml:space="preserve">, and to adhere to the </w:t>
      </w:r>
      <w:r w:rsidR="00F85428">
        <w:t>Local Government Finance Act 1992, S49A</w:t>
      </w:r>
    </w:p>
    <w:p w14:paraId="3031ADFD" w14:textId="6E01E856" w:rsidR="001152A7" w:rsidRDefault="001152A7" w:rsidP="001152A7">
      <w:pPr>
        <w:pStyle w:val="Heading1"/>
      </w:pPr>
      <w:r>
        <w:t xml:space="preserve">General </w:t>
      </w:r>
      <w:r w:rsidR="005E4CDF">
        <w:t xml:space="preserve">(Revenue) </w:t>
      </w:r>
      <w:r>
        <w:t>Reserve</w:t>
      </w:r>
      <w:r w:rsidR="005057BA">
        <w:t>s</w:t>
      </w:r>
    </w:p>
    <w:p w14:paraId="1AEC4C8F" w14:textId="7CF9A511" w:rsidR="00896D6E" w:rsidRDefault="00527A01" w:rsidP="001152A7">
      <w:r>
        <w:t>The General Reserve</w:t>
      </w:r>
      <w:r w:rsidR="005057BA">
        <w:t>s</w:t>
      </w:r>
      <w:r>
        <w:t xml:space="preserve"> </w:t>
      </w:r>
      <w:r w:rsidR="00DC5B23">
        <w:t xml:space="preserve">provide </w:t>
      </w:r>
      <w:r w:rsidR="00D52A48">
        <w:t>the Council with sufficient funds to cover unexpected or unforeseen expenditure or emergencies.</w:t>
      </w:r>
      <w:r w:rsidR="00021856">
        <w:t xml:space="preserve"> The </w:t>
      </w:r>
      <w:r w:rsidR="00A21E02">
        <w:t>use</w:t>
      </w:r>
      <w:r w:rsidR="00021856">
        <w:t xml:space="preserve"> of General Reserves must be authorised by the Council. </w:t>
      </w:r>
    </w:p>
    <w:p w14:paraId="34D7BFD4" w14:textId="027D06FF" w:rsidR="00C97C2A" w:rsidRDefault="00896D6E" w:rsidP="001152A7">
      <w:r>
        <w:t xml:space="preserve">The level of General Reserves </w:t>
      </w:r>
      <w:r w:rsidR="00C97C2A">
        <w:t>shall be review</w:t>
      </w:r>
      <w:r w:rsidR="000A08C3">
        <w:t>ed</w:t>
      </w:r>
      <w:r w:rsidR="00C97C2A">
        <w:t xml:space="preserve"> on an annual basis during the annual budgetary </w:t>
      </w:r>
      <w:r w:rsidR="005057BA">
        <w:t>review and</w:t>
      </w:r>
      <w:r w:rsidR="00DD2D53">
        <w:t xml:space="preserve"> </w:t>
      </w:r>
      <w:r w:rsidR="00F16DD5">
        <w:t xml:space="preserve">should </w:t>
      </w:r>
      <w:r w:rsidR="00DD2D53">
        <w:t>be a minimal of three months</w:t>
      </w:r>
      <w:r w:rsidR="00182082">
        <w:t xml:space="preserve">’ net revenue expenditure. The Council aims to maintain a General Reserve </w:t>
      </w:r>
      <w:r w:rsidR="00A4002F">
        <w:t xml:space="preserve">equivalent to at least </w:t>
      </w:r>
      <w:r w:rsidR="007977EF">
        <w:t>50% of precept.</w:t>
      </w:r>
    </w:p>
    <w:tbl>
      <w:tblPr>
        <w:tblStyle w:val="TableGrid"/>
        <w:tblW w:w="9837"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2268"/>
        <w:gridCol w:w="3364"/>
        <w:gridCol w:w="4205"/>
      </w:tblGrid>
      <w:tr w:rsidR="00EA6C9F" w:rsidRPr="009C2D3B" w14:paraId="0FC8391F" w14:textId="77777777" w:rsidTr="00545457">
        <w:tc>
          <w:tcPr>
            <w:tcW w:w="2268" w:type="dxa"/>
          </w:tcPr>
          <w:p w14:paraId="728400EF" w14:textId="3C190592" w:rsidR="00EA6C9F" w:rsidRPr="009C2D3B" w:rsidRDefault="00EA6C9F" w:rsidP="00EA66BE">
            <w:pPr>
              <w:rPr>
                <w:b/>
                <w:bCs/>
              </w:rPr>
            </w:pPr>
            <w:r>
              <w:rPr>
                <w:b/>
                <w:bCs/>
              </w:rPr>
              <w:t>General Reserve</w:t>
            </w:r>
          </w:p>
        </w:tc>
        <w:tc>
          <w:tcPr>
            <w:tcW w:w="3364" w:type="dxa"/>
          </w:tcPr>
          <w:p w14:paraId="4D24D36C" w14:textId="57C0717C" w:rsidR="00EA6C9F" w:rsidRPr="009C2D3B" w:rsidRDefault="00EA6C9F" w:rsidP="00EA66BE">
            <w:pPr>
              <w:rPr>
                <w:b/>
                <w:bCs/>
              </w:rPr>
            </w:pPr>
            <w:r w:rsidRPr="009C2D3B">
              <w:rPr>
                <w:b/>
                <w:bCs/>
              </w:rPr>
              <w:t>Contribution</w:t>
            </w:r>
            <w:r w:rsidR="00545457">
              <w:rPr>
                <w:b/>
                <w:bCs/>
              </w:rPr>
              <w:t xml:space="preserve"> </w:t>
            </w:r>
            <w:r w:rsidR="003062C6">
              <w:rPr>
                <w:b/>
                <w:bCs/>
              </w:rPr>
              <w:t xml:space="preserve">as </w:t>
            </w:r>
            <w:r w:rsidR="00E05D56">
              <w:rPr>
                <w:b/>
                <w:bCs/>
              </w:rPr>
              <w:t>of 1 April 2024</w:t>
            </w:r>
          </w:p>
        </w:tc>
        <w:tc>
          <w:tcPr>
            <w:tcW w:w="4205" w:type="dxa"/>
          </w:tcPr>
          <w:p w14:paraId="7617F2BD" w14:textId="532BAF14" w:rsidR="00EA6C9F" w:rsidRPr="009C2D3B" w:rsidRDefault="00336806" w:rsidP="00EA66BE">
            <w:pPr>
              <w:rPr>
                <w:b/>
                <w:bCs/>
              </w:rPr>
            </w:pPr>
            <w:r>
              <w:rPr>
                <w:b/>
                <w:bCs/>
              </w:rPr>
              <w:t>D</w:t>
            </w:r>
            <w:r w:rsidR="009F3502">
              <w:rPr>
                <w:b/>
                <w:bCs/>
              </w:rPr>
              <w:t>uty</w:t>
            </w:r>
            <w:r w:rsidR="00F90BA0">
              <w:rPr>
                <w:b/>
                <w:bCs/>
              </w:rPr>
              <w:t xml:space="preserve"> to act</w:t>
            </w:r>
          </w:p>
        </w:tc>
      </w:tr>
      <w:tr w:rsidR="00EA6C9F" w:rsidRPr="009C2D3B" w14:paraId="644C5FA6" w14:textId="77777777" w:rsidTr="00545457">
        <w:tc>
          <w:tcPr>
            <w:tcW w:w="2268" w:type="dxa"/>
          </w:tcPr>
          <w:p w14:paraId="0F440280" w14:textId="5460FF97" w:rsidR="00EA6C9F" w:rsidRDefault="00EA6C9F" w:rsidP="00EA66BE">
            <w:r>
              <w:t>General Reserve</w:t>
            </w:r>
          </w:p>
        </w:tc>
        <w:tc>
          <w:tcPr>
            <w:tcW w:w="3364" w:type="dxa"/>
          </w:tcPr>
          <w:p w14:paraId="3F20B0BB" w14:textId="594EB556" w:rsidR="00EA6C9F" w:rsidRDefault="002E529B" w:rsidP="00EA66BE">
            <w:r>
              <w:t>£</w:t>
            </w:r>
            <w:r w:rsidR="00EA6C9F">
              <w:t>29,200</w:t>
            </w:r>
          </w:p>
        </w:tc>
        <w:tc>
          <w:tcPr>
            <w:tcW w:w="4205" w:type="dxa"/>
          </w:tcPr>
          <w:p w14:paraId="0D4D29E1" w14:textId="23647B1C" w:rsidR="00EA6C9F" w:rsidRPr="009C2D3B" w:rsidRDefault="00EA6C9F" w:rsidP="00EA66BE">
            <w:pPr>
              <w:rPr>
                <w:rFonts w:ascii="Calibri" w:hAnsi="Calibri" w:cs="Calibri"/>
                <w:color w:val="000000"/>
                <w:sz w:val="16"/>
                <w:szCs w:val="16"/>
              </w:rPr>
            </w:pPr>
            <w:r>
              <w:rPr>
                <w:rFonts w:ascii="Calibri" w:hAnsi="Calibri" w:cs="Calibri"/>
                <w:color w:val="000000"/>
                <w:sz w:val="16"/>
                <w:szCs w:val="16"/>
              </w:rPr>
              <w:t>Local Governance Finance Act 1992, S</w:t>
            </w:r>
            <w:r w:rsidR="00545E3F">
              <w:rPr>
                <w:rFonts w:ascii="Calibri" w:hAnsi="Calibri" w:cs="Calibri"/>
                <w:color w:val="000000"/>
                <w:sz w:val="16"/>
                <w:szCs w:val="16"/>
              </w:rPr>
              <w:t>49A</w:t>
            </w:r>
            <w:r>
              <w:rPr>
                <w:rFonts w:ascii="Calibri" w:hAnsi="Calibri" w:cs="Calibri"/>
                <w:color w:val="000000"/>
                <w:sz w:val="16"/>
                <w:szCs w:val="16"/>
              </w:rPr>
              <w:t xml:space="preserve">. </w:t>
            </w:r>
          </w:p>
        </w:tc>
      </w:tr>
    </w:tbl>
    <w:p w14:paraId="1896DC39" w14:textId="21BA2250" w:rsidR="001152A7" w:rsidRPr="001152A7" w:rsidRDefault="00C97C2A" w:rsidP="001152A7">
      <w:r>
        <w:t xml:space="preserve"> </w:t>
      </w:r>
      <w:r w:rsidR="00D52A48">
        <w:t xml:space="preserve"> </w:t>
      </w:r>
    </w:p>
    <w:p w14:paraId="12D39E03" w14:textId="6614B98E" w:rsidR="00FF6361" w:rsidRDefault="00FF6361" w:rsidP="00FF6361">
      <w:pPr>
        <w:pStyle w:val="Heading1"/>
      </w:pPr>
      <w:r>
        <w:t>Earmarked Reserves</w:t>
      </w:r>
      <w:r w:rsidR="00577888">
        <w:t xml:space="preserve"> (EMRs)</w:t>
      </w:r>
    </w:p>
    <w:p w14:paraId="301AB1CF" w14:textId="376D0A24" w:rsidR="00FF6361" w:rsidRDefault="00FF6361" w:rsidP="00FF6361">
      <w:r w:rsidRPr="00FF6361">
        <w:t xml:space="preserve">Ripponden Parish Council </w:t>
      </w:r>
      <w:r w:rsidR="00E2491B">
        <w:t xml:space="preserve">has authorised the </w:t>
      </w:r>
      <w:r w:rsidRPr="00FF6361">
        <w:t>establish</w:t>
      </w:r>
      <w:r w:rsidR="00E2491B">
        <w:t>ment</w:t>
      </w:r>
      <w:r w:rsidRPr="00FF6361">
        <w:t xml:space="preserve"> </w:t>
      </w:r>
      <w:r w:rsidR="00E2491B">
        <w:t xml:space="preserve">of </w:t>
      </w:r>
      <w:r w:rsidRPr="00FF6361">
        <w:t>several Earmarked Reserves (EMRs)</w:t>
      </w:r>
      <w:r w:rsidR="009C2D3B">
        <w:t xml:space="preserve"> </w:t>
      </w:r>
      <w:r w:rsidRPr="00FF6361">
        <w:t>to allow for future expenditure commitments</w:t>
      </w:r>
      <w:r w:rsidR="008B344B">
        <w:t xml:space="preserve"> over</w:t>
      </w:r>
      <w:r w:rsidR="00C61755">
        <w:t xml:space="preserve"> two or more years</w:t>
      </w:r>
      <w:r w:rsidR="008B344B">
        <w:t>.</w:t>
      </w:r>
      <w:r w:rsidRPr="00FF6361">
        <w:t xml:space="preserve">  </w:t>
      </w:r>
      <w:r w:rsidR="000E6845">
        <w:t xml:space="preserve">These reserves shall be used only for the purpose </w:t>
      </w:r>
      <w:r w:rsidR="004B52EA">
        <w:t>for which they have been created.</w:t>
      </w:r>
    </w:p>
    <w:p w14:paraId="1DE07E81" w14:textId="23B0E4B1" w:rsidR="004B52EA" w:rsidRDefault="004B52EA" w:rsidP="00FF6361">
      <w:r>
        <w:t>Where the purpose of a specific EMR becomes obsolete</w:t>
      </w:r>
      <w:r w:rsidR="00C93BC6">
        <w:t xml:space="preserve">, or where there is an over-provision of funds, the excess may, on the approval of the Council, </w:t>
      </w:r>
      <w:r w:rsidR="006F7FC7">
        <w:t xml:space="preserve">be transferred to the General Reserve or one or more other EMRs. </w:t>
      </w:r>
      <w:r>
        <w:t xml:space="preserve"> </w:t>
      </w:r>
    </w:p>
    <w:p w14:paraId="0B2416FD" w14:textId="5A0666AC" w:rsidR="00FF6361" w:rsidRPr="00FF6361" w:rsidRDefault="00FF6361" w:rsidP="00FF6361">
      <w:r w:rsidRPr="00FF6361">
        <w:t>The Council’s approval is required for any expenditure from the EMR</w:t>
      </w:r>
      <w:r w:rsidR="009C2D3B">
        <w:t>s.</w:t>
      </w:r>
      <w:r w:rsidR="00FF2B95">
        <w:t xml:space="preserve"> </w:t>
      </w:r>
    </w:p>
    <w:p w14:paraId="2EA6CF32" w14:textId="5E6EB13C" w:rsidR="00FF6361" w:rsidRDefault="00FF6361" w:rsidP="00FF6361">
      <w:r w:rsidRPr="00FF6361">
        <w:t xml:space="preserve">At the annual budget setting meeting, the Parish Council decides the values to be allocated from forthcoming year’s operational expenditure into each EMR. The Parish Council also considers whether any unallocated balances – for example, at the financial year end -- should be reallocated to some or all of the EMRs. The values of the EMRs -- together with income and expenditure -- are reported to </w:t>
      </w:r>
      <w:r w:rsidR="009C2D3B">
        <w:t xml:space="preserve">a </w:t>
      </w:r>
      <w:r w:rsidRPr="00FF6361">
        <w:t xml:space="preserve">Full Council meeting. </w:t>
      </w:r>
      <w:r w:rsidR="00227F54">
        <w:t xml:space="preserve">Full Council must also </w:t>
      </w:r>
    </w:p>
    <w:p w14:paraId="01F2FA49" w14:textId="33D3701E" w:rsidR="009C2D3B" w:rsidRDefault="00FF6361" w:rsidP="00FF6361">
      <w:r>
        <w:t>The purpose and operation of each E</w:t>
      </w:r>
      <w:r w:rsidR="00577888">
        <w:t>MR</w:t>
      </w:r>
      <w:r>
        <w:t xml:space="preserve"> is detailed below. </w:t>
      </w:r>
    </w:p>
    <w:tbl>
      <w:tblPr>
        <w:tblStyle w:val="TableGrid"/>
        <w:tblW w:w="9871"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4111"/>
        <w:gridCol w:w="1418"/>
        <w:gridCol w:w="4342"/>
      </w:tblGrid>
      <w:tr w:rsidR="008C7C22" w14:paraId="3E7DD613" w14:textId="77777777" w:rsidTr="00380212">
        <w:tc>
          <w:tcPr>
            <w:tcW w:w="4111" w:type="dxa"/>
          </w:tcPr>
          <w:p w14:paraId="635792A4" w14:textId="6673C9C8" w:rsidR="008C7C22" w:rsidRPr="009C2D3B" w:rsidRDefault="008C7C22" w:rsidP="00FF6361">
            <w:pPr>
              <w:rPr>
                <w:b/>
                <w:bCs/>
              </w:rPr>
            </w:pPr>
            <w:r w:rsidRPr="00FF6361">
              <w:t xml:space="preserve"> </w:t>
            </w:r>
            <w:r w:rsidRPr="009C2D3B">
              <w:rPr>
                <w:b/>
                <w:bCs/>
              </w:rPr>
              <w:t>EM</w:t>
            </w:r>
            <w:r w:rsidR="00577888">
              <w:rPr>
                <w:b/>
                <w:bCs/>
              </w:rPr>
              <w:t>R</w:t>
            </w:r>
          </w:p>
        </w:tc>
        <w:tc>
          <w:tcPr>
            <w:tcW w:w="1418" w:type="dxa"/>
          </w:tcPr>
          <w:p w14:paraId="31A17C5D" w14:textId="2E9C49A8" w:rsidR="008C7C22" w:rsidRPr="009C2D3B" w:rsidRDefault="008C7C22" w:rsidP="00FF6361">
            <w:pPr>
              <w:rPr>
                <w:b/>
                <w:bCs/>
              </w:rPr>
            </w:pPr>
            <w:r w:rsidRPr="009C2D3B">
              <w:rPr>
                <w:b/>
                <w:bCs/>
              </w:rPr>
              <w:t>Contribution</w:t>
            </w:r>
            <w:r>
              <w:rPr>
                <w:b/>
                <w:bCs/>
              </w:rPr>
              <w:t xml:space="preserve"> as of 1 April 2024</w:t>
            </w:r>
          </w:p>
        </w:tc>
        <w:tc>
          <w:tcPr>
            <w:tcW w:w="4342" w:type="dxa"/>
          </w:tcPr>
          <w:p w14:paraId="20C19BAC" w14:textId="560E637F" w:rsidR="008C7C22" w:rsidRPr="009C2D3B" w:rsidRDefault="008C7C22" w:rsidP="00FF6361">
            <w:pPr>
              <w:rPr>
                <w:b/>
                <w:bCs/>
              </w:rPr>
            </w:pPr>
            <w:r w:rsidRPr="009C2D3B">
              <w:rPr>
                <w:b/>
                <w:bCs/>
              </w:rPr>
              <w:t>Power</w:t>
            </w:r>
            <w:r>
              <w:rPr>
                <w:b/>
                <w:bCs/>
              </w:rPr>
              <w:t>/duty to incur expenditure</w:t>
            </w:r>
          </w:p>
        </w:tc>
      </w:tr>
      <w:tr w:rsidR="008C7C22" w14:paraId="268DE0F0" w14:textId="466122E5" w:rsidTr="00380212">
        <w:tc>
          <w:tcPr>
            <w:tcW w:w="4111" w:type="dxa"/>
          </w:tcPr>
          <w:p w14:paraId="1F0270B1" w14:textId="1382E402" w:rsidR="008C7C22" w:rsidRDefault="008C7C22" w:rsidP="00FF6361">
            <w:r w:rsidRPr="00FF6361">
              <w:t>Bench renovation</w:t>
            </w:r>
          </w:p>
        </w:tc>
        <w:tc>
          <w:tcPr>
            <w:tcW w:w="1418" w:type="dxa"/>
          </w:tcPr>
          <w:p w14:paraId="3BAA0C2B" w14:textId="50879DEE" w:rsidR="008C7C22" w:rsidRDefault="008C7C22" w:rsidP="00FF6361">
            <w:r w:rsidRPr="00FF6361">
              <w:t>500.00</w:t>
            </w:r>
          </w:p>
        </w:tc>
        <w:tc>
          <w:tcPr>
            <w:tcW w:w="4342" w:type="dxa"/>
          </w:tcPr>
          <w:p w14:paraId="178484BC" w14:textId="12244740" w:rsidR="008C7C22" w:rsidRPr="009C2D3B" w:rsidRDefault="008C7C22" w:rsidP="00FF6361">
            <w:pPr>
              <w:rPr>
                <w:rFonts w:ascii="Calibri" w:hAnsi="Calibri" w:cs="Calibri"/>
                <w:color w:val="000000"/>
                <w:sz w:val="16"/>
                <w:szCs w:val="16"/>
              </w:rPr>
            </w:pPr>
            <w:r>
              <w:rPr>
                <w:rFonts w:ascii="Calibri" w:hAnsi="Calibri" w:cs="Calibri"/>
                <w:color w:val="000000"/>
                <w:sz w:val="16"/>
                <w:szCs w:val="16"/>
              </w:rPr>
              <w:t>Parish Councils Act 1957, S1.</w:t>
            </w:r>
          </w:p>
        </w:tc>
      </w:tr>
      <w:tr w:rsidR="008C7C22" w14:paraId="43F41393" w14:textId="51E4D618" w:rsidTr="00380212">
        <w:tc>
          <w:tcPr>
            <w:tcW w:w="4111" w:type="dxa"/>
          </w:tcPr>
          <w:p w14:paraId="2BFB118F" w14:textId="44A8656C" w:rsidR="008C7C22" w:rsidRDefault="008C7C22" w:rsidP="00FF6361">
            <w:r w:rsidRPr="00FF6361">
              <w:t>Building repair costs</w:t>
            </w:r>
          </w:p>
        </w:tc>
        <w:tc>
          <w:tcPr>
            <w:tcW w:w="1418" w:type="dxa"/>
          </w:tcPr>
          <w:p w14:paraId="59DD6188" w14:textId="4CEBFD16" w:rsidR="008C7C22" w:rsidRDefault="008C7C22" w:rsidP="00FF6361">
            <w:r w:rsidRPr="00FF6361">
              <w:t>30,000.00</w:t>
            </w:r>
          </w:p>
        </w:tc>
        <w:tc>
          <w:tcPr>
            <w:tcW w:w="4342" w:type="dxa"/>
          </w:tcPr>
          <w:p w14:paraId="52F64097" w14:textId="518CC159" w:rsidR="008C7C22" w:rsidRPr="009C2D3B" w:rsidRDefault="008C7C22" w:rsidP="00FF6361">
            <w:pPr>
              <w:rPr>
                <w:rFonts w:ascii="Calibri" w:hAnsi="Calibri" w:cs="Calibri"/>
                <w:color w:val="000000"/>
                <w:sz w:val="16"/>
                <w:szCs w:val="16"/>
              </w:rPr>
            </w:pPr>
            <w:r>
              <w:rPr>
                <w:rFonts w:ascii="Calibri" w:hAnsi="Calibri" w:cs="Calibri"/>
                <w:color w:val="111111"/>
                <w:sz w:val="16"/>
                <w:szCs w:val="16"/>
              </w:rPr>
              <w:t>Local Government Act (LGA) 1972</w:t>
            </w:r>
            <w:r>
              <w:rPr>
                <w:rFonts w:ascii="Calibri" w:hAnsi="Calibri" w:cs="Calibri"/>
                <w:color w:val="000000"/>
                <w:sz w:val="16"/>
                <w:szCs w:val="16"/>
              </w:rPr>
              <w:t>, section 133.</w:t>
            </w:r>
          </w:p>
        </w:tc>
      </w:tr>
      <w:tr w:rsidR="008C7C22" w14:paraId="7674A846" w14:textId="4C18D3F2" w:rsidTr="00380212">
        <w:tc>
          <w:tcPr>
            <w:tcW w:w="4111" w:type="dxa"/>
          </w:tcPr>
          <w:p w14:paraId="059FCF70" w14:textId="56EFAF8F" w:rsidR="008C7C22" w:rsidRDefault="008C7C22" w:rsidP="00FF6361">
            <w:r w:rsidRPr="00FF6361">
              <w:t>Car parking provision</w:t>
            </w:r>
          </w:p>
        </w:tc>
        <w:tc>
          <w:tcPr>
            <w:tcW w:w="1418" w:type="dxa"/>
          </w:tcPr>
          <w:p w14:paraId="5EE5B7C7" w14:textId="0922F89F" w:rsidR="008C7C22" w:rsidRDefault="008C7C22" w:rsidP="00FF6361">
            <w:r w:rsidRPr="00FF6361">
              <w:t>3,000.00</w:t>
            </w:r>
          </w:p>
        </w:tc>
        <w:tc>
          <w:tcPr>
            <w:tcW w:w="4342" w:type="dxa"/>
          </w:tcPr>
          <w:p w14:paraId="6F87C4C0" w14:textId="6E13FD48" w:rsidR="008C7C22" w:rsidRPr="009C2D3B" w:rsidRDefault="008C7C22" w:rsidP="00FF6361">
            <w:pPr>
              <w:rPr>
                <w:rFonts w:ascii="Calibri" w:hAnsi="Calibri" w:cs="Calibri"/>
                <w:color w:val="000000"/>
                <w:sz w:val="16"/>
                <w:szCs w:val="16"/>
              </w:rPr>
            </w:pPr>
            <w:r>
              <w:rPr>
                <w:rFonts w:ascii="Calibri" w:hAnsi="Calibri" w:cs="Calibri"/>
                <w:color w:val="000000"/>
                <w:sz w:val="16"/>
                <w:szCs w:val="16"/>
              </w:rPr>
              <w:t>Road Traffic Regulation Act 1984, subsections 57 and 63.</w:t>
            </w:r>
          </w:p>
        </w:tc>
      </w:tr>
      <w:tr w:rsidR="008C7C22" w14:paraId="4000DEDF" w14:textId="4693F1C9" w:rsidTr="00380212">
        <w:tc>
          <w:tcPr>
            <w:tcW w:w="4111" w:type="dxa"/>
          </w:tcPr>
          <w:p w14:paraId="74687EBC" w14:textId="362FDD31" w:rsidR="008C7C22" w:rsidRDefault="008C7C22" w:rsidP="00FF6361">
            <w:r w:rsidRPr="00FF6361">
              <w:lastRenderedPageBreak/>
              <w:t>Elections/co-options (</w:t>
            </w:r>
            <w:r>
              <w:t>two</w:t>
            </w:r>
            <w:r w:rsidRPr="00FF6361">
              <w:t xml:space="preserve"> </w:t>
            </w:r>
            <w:r>
              <w:t>contests</w:t>
            </w:r>
            <w:r w:rsidRPr="00FF6361">
              <w:t>)</w:t>
            </w:r>
          </w:p>
        </w:tc>
        <w:tc>
          <w:tcPr>
            <w:tcW w:w="1418" w:type="dxa"/>
          </w:tcPr>
          <w:p w14:paraId="67D2F57F" w14:textId="0201ED22" w:rsidR="008C7C22" w:rsidRDefault="008C7C22" w:rsidP="00FF6361">
            <w:r w:rsidRPr="00FF6361">
              <w:t>7,000.00</w:t>
            </w:r>
          </w:p>
        </w:tc>
        <w:tc>
          <w:tcPr>
            <w:tcW w:w="4342" w:type="dxa"/>
          </w:tcPr>
          <w:p w14:paraId="34AF858F" w14:textId="4A77A2F9" w:rsidR="008C7C22" w:rsidRPr="009C2D3B" w:rsidRDefault="008C7C22" w:rsidP="00FF6361">
            <w:pPr>
              <w:rPr>
                <w:rFonts w:ascii="Calibri" w:hAnsi="Calibri" w:cs="Calibri"/>
                <w:color w:val="000000"/>
                <w:sz w:val="16"/>
                <w:szCs w:val="16"/>
              </w:rPr>
            </w:pPr>
            <w:r>
              <w:rPr>
                <w:rFonts w:ascii="Calibri" w:hAnsi="Calibri" w:cs="Calibri"/>
                <w:color w:val="111111"/>
                <w:sz w:val="16"/>
                <w:szCs w:val="16"/>
              </w:rPr>
              <w:t>Local Government Act (LGA) 1972</w:t>
            </w:r>
            <w:r>
              <w:rPr>
                <w:rFonts w:ascii="Calibri" w:hAnsi="Calibri" w:cs="Calibri"/>
                <w:color w:val="000000"/>
                <w:sz w:val="16"/>
                <w:szCs w:val="16"/>
              </w:rPr>
              <w:t>, S7.</w:t>
            </w:r>
          </w:p>
        </w:tc>
      </w:tr>
      <w:tr w:rsidR="008C7C22" w14:paraId="3498FFD5" w14:textId="4CA39B1C" w:rsidTr="00380212">
        <w:tc>
          <w:tcPr>
            <w:tcW w:w="4111" w:type="dxa"/>
          </w:tcPr>
          <w:p w14:paraId="7C72EA19" w14:textId="6320BF04" w:rsidR="008C7C22" w:rsidRDefault="008C7C22" w:rsidP="00FF6361">
            <w:r w:rsidRPr="00FF6361">
              <w:t>Employment</w:t>
            </w:r>
            <w:r>
              <w:t xml:space="preserve"> (leave of absence mitigation)</w:t>
            </w:r>
          </w:p>
        </w:tc>
        <w:tc>
          <w:tcPr>
            <w:tcW w:w="1418" w:type="dxa"/>
          </w:tcPr>
          <w:p w14:paraId="5F8BC029" w14:textId="173F8394" w:rsidR="008C7C22" w:rsidRDefault="008C7C22" w:rsidP="00FF6361">
            <w:r w:rsidRPr="00FF6361">
              <w:t>14,000.00</w:t>
            </w:r>
          </w:p>
        </w:tc>
        <w:tc>
          <w:tcPr>
            <w:tcW w:w="4342" w:type="dxa"/>
          </w:tcPr>
          <w:p w14:paraId="3B826B0C" w14:textId="211BCA11" w:rsidR="008C7C22" w:rsidRPr="009C2D3B" w:rsidRDefault="008C7C22" w:rsidP="00FF6361">
            <w:pPr>
              <w:rPr>
                <w:rFonts w:ascii="Calibri" w:hAnsi="Calibri" w:cs="Calibri"/>
                <w:color w:val="111111"/>
                <w:sz w:val="16"/>
                <w:szCs w:val="16"/>
              </w:rPr>
            </w:pPr>
            <w:r>
              <w:rPr>
                <w:rFonts w:ascii="Calibri" w:hAnsi="Calibri" w:cs="Calibri"/>
                <w:color w:val="111111"/>
                <w:sz w:val="16"/>
                <w:szCs w:val="16"/>
              </w:rPr>
              <w:t>Local Government Act (LGA) 1972, section 112.</w:t>
            </w:r>
          </w:p>
        </w:tc>
      </w:tr>
      <w:tr w:rsidR="008C7C22" w14:paraId="6E39F60E" w14:textId="15517817" w:rsidTr="00380212">
        <w:tc>
          <w:tcPr>
            <w:tcW w:w="4111" w:type="dxa"/>
          </w:tcPr>
          <w:p w14:paraId="6C9B56FB" w14:textId="2474A40F" w:rsidR="008C7C22" w:rsidRDefault="008C7C22" w:rsidP="00FF6361">
            <w:r w:rsidRPr="00FF6361">
              <w:t>Noticeboard replacement</w:t>
            </w:r>
            <w:r w:rsidRPr="00FF6361">
              <w:tab/>
            </w:r>
          </w:p>
        </w:tc>
        <w:tc>
          <w:tcPr>
            <w:tcW w:w="1418" w:type="dxa"/>
          </w:tcPr>
          <w:p w14:paraId="1E64DBC3" w14:textId="51758FB3" w:rsidR="008C7C22" w:rsidRDefault="008C7C22" w:rsidP="00FF6361">
            <w:r w:rsidRPr="00FF6361">
              <w:t>640.00</w:t>
            </w:r>
          </w:p>
        </w:tc>
        <w:tc>
          <w:tcPr>
            <w:tcW w:w="4342" w:type="dxa"/>
          </w:tcPr>
          <w:p w14:paraId="7178BDD4" w14:textId="152FDF24" w:rsidR="008C7C22" w:rsidRPr="009C2D3B" w:rsidRDefault="008C7C22" w:rsidP="00FF6361">
            <w:pPr>
              <w:rPr>
                <w:rFonts w:ascii="Calibri" w:hAnsi="Calibri" w:cs="Calibri"/>
                <w:color w:val="111111"/>
                <w:sz w:val="16"/>
                <w:szCs w:val="16"/>
              </w:rPr>
            </w:pPr>
            <w:r>
              <w:rPr>
                <w:rFonts w:ascii="Calibri" w:hAnsi="Calibri" w:cs="Calibri"/>
                <w:color w:val="111111"/>
                <w:sz w:val="16"/>
                <w:szCs w:val="16"/>
              </w:rPr>
              <w:t>Local Government Act (LGA) 1972, section 142.</w:t>
            </w:r>
          </w:p>
        </w:tc>
      </w:tr>
      <w:tr w:rsidR="008C7C22" w14:paraId="4A0A0F94" w14:textId="4017660D" w:rsidTr="00380212">
        <w:tc>
          <w:tcPr>
            <w:tcW w:w="4111" w:type="dxa"/>
          </w:tcPr>
          <w:p w14:paraId="40A16D8C" w14:textId="633C008C" w:rsidR="008C7C22" w:rsidRDefault="008C7C22" w:rsidP="00FF6361">
            <w:r w:rsidRPr="009C2D3B">
              <w:t>Playground repair</w:t>
            </w:r>
            <w:r w:rsidRPr="009C2D3B">
              <w:tab/>
            </w:r>
          </w:p>
        </w:tc>
        <w:tc>
          <w:tcPr>
            <w:tcW w:w="1418" w:type="dxa"/>
          </w:tcPr>
          <w:p w14:paraId="0BF47472" w14:textId="0FEDDE5E" w:rsidR="008C7C22" w:rsidRDefault="008C7C22" w:rsidP="00FF6361">
            <w:r w:rsidRPr="009C2D3B">
              <w:t>2,000.00</w:t>
            </w:r>
          </w:p>
        </w:tc>
        <w:tc>
          <w:tcPr>
            <w:tcW w:w="4342" w:type="dxa"/>
          </w:tcPr>
          <w:p w14:paraId="5CB2DA43" w14:textId="38B86B37" w:rsidR="008C7C22" w:rsidRPr="009C2D3B" w:rsidRDefault="008C7C22" w:rsidP="00FF6361">
            <w:pPr>
              <w:rPr>
                <w:rFonts w:ascii="Calibri" w:hAnsi="Calibri" w:cs="Calibri"/>
                <w:color w:val="000000"/>
                <w:sz w:val="16"/>
                <w:szCs w:val="16"/>
              </w:rPr>
            </w:pPr>
            <w:r>
              <w:rPr>
                <w:rFonts w:ascii="Calibri" w:hAnsi="Calibri" w:cs="Calibri"/>
                <w:color w:val="000000"/>
                <w:sz w:val="16"/>
                <w:szCs w:val="16"/>
              </w:rPr>
              <w:t>Local Government (Miscellaneous Provisions) Act 1976, S19.</w:t>
            </w:r>
          </w:p>
        </w:tc>
      </w:tr>
      <w:tr w:rsidR="008C7C22" w14:paraId="57209C7F" w14:textId="546C1880" w:rsidTr="00380212">
        <w:tc>
          <w:tcPr>
            <w:tcW w:w="4111" w:type="dxa"/>
          </w:tcPr>
          <w:p w14:paraId="7F046A57" w14:textId="50FBA541" w:rsidR="008C7C22" w:rsidRDefault="008C7C22" w:rsidP="00FF6361">
            <w:r w:rsidRPr="009C2D3B">
              <w:t>Replant memorials/renovate horticultural sites</w:t>
            </w:r>
          </w:p>
        </w:tc>
        <w:tc>
          <w:tcPr>
            <w:tcW w:w="1418" w:type="dxa"/>
          </w:tcPr>
          <w:p w14:paraId="67709A0B" w14:textId="215211A7" w:rsidR="008C7C22" w:rsidRDefault="008C7C22" w:rsidP="00FF6361">
            <w:r w:rsidRPr="009C2D3B">
              <w:t>4,000.00</w:t>
            </w:r>
          </w:p>
        </w:tc>
        <w:tc>
          <w:tcPr>
            <w:tcW w:w="4342" w:type="dxa"/>
          </w:tcPr>
          <w:p w14:paraId="51F4D05F" w14:textId="448F9A2E" w:rsidR="008C7C22" w:rsidRPr="009C2D3B" w:rsidRDefault="008C7C22" w:rsidP="00FF6361">
            <w:pPr>
              <w:rPr>
                <w:rFonts w:ascii="Calibri" w:hAnsi="Calibri" w:cs="Calibri"/>
                <w:color w:val="000000"/>
                <w:sz w:val="16"/>
                <w:szCs w:val="16"/>
              </w:rPr>
            </w:pPr>
            <w:r>
              <w:rPr>
                <w:rFonts w:ascii="Calibri" w:hAnsi="Calibri" w:cs="Calibri"/>
                <w:color w:val="000000"/>
                <w:sz w:val="16"/>
                <w:szCs w:val="16"/>
              </w:rPr>
              <w:t>Public Health Act 1875, section 164.</w:t>
            </w:r>
          </w:p>
        </w:tc>
      </w:tr>
      <w:tr w:rsidR="008C7C22" w14:paraId="4F065E72" w14:textId="37EABF9A" w:rsidTr="00380212">
        <w:tc>
          <w:tcPr>
            <w:tcW w:w="4111" w:type="dxa"/>
          </w:tcPr>
          <w:p w14:paraId="263D4B0C" w14:textId="52E2F2AF" w:rsidR="008C7C22" w:rsidRPr="009C2D3B" w:rsidRDefault="008C7C22" w:rsidP="00FF6361">
            <w:r w:rsidRPr="009C2D3B">
              <w:t>Telephone box repair</w:t>
            </w:r>
          </w:p>
        </w:tc>
        <w:tc>
          <w:tcPr>
            <w:tcW w:w="1418" w:type="dxa"/>
          </w:tcPr>
          <w:p w14:paraId="1874E427" w14:textId="1DA0A1DB" w:rsidR="008C7C22" w:rsidRPr="009C2D3B" w:rsidRDefault="008C7C22" w:rsidP="00FF6361">
            <w:r w:rsidRPr="009C2D3B">
              <w:t>1,500.00</w:t>
            </w:r>
          </w:p>
        </w:tc>
        <w:tc>
          <w:tcPr>
            <w:tcW w:w="4342" w:type="dxa"/>
          </w:tcPr>
          <w:p w14:paraId="43C550C9" w14:textId="7C4FBED0" w:rsidR="008C7C22" w:rsidRPr="009C2D3B" w:rsidRDefault="008C7C22" w:rsidP="00FF6361">
            <w:pPr>
              <w:rPr>
                <w:rFonts w:ascii="Calibri" w:hAnsi="Calibri" w:cs="Calibri"/>
                <w:color w:val="111111"/>
                <w:sz w:val="16"/>
                <w:szCs w:val="16"/>
              </w:rPr>
            </w:pPr>
            <w:r>
              <w:rPr>
                <w:rFonts w:ascii="Calibri" w:hAnsi="Calibri" w:cs="Calibri"/>
                <w:color w:val="111111"/>
                <w:sz w:val="16"/>
                <w:szCs w:val="16"/>
              </w:rPr>
              <w:t>Local Government Act (LGA) 1972, section 144.</w:t>
            </w:r>
          </w:p>
        </w:tc>
      </w:tr>
      <w:tr w:rsidR="008C7C22" w14:paraId="2BB457ED" w14:textId="03B900B2" w:rsidTr="00380212">
        <w:tc>
          <w:tcPr>
            <w:tcW w:w="4111" w:type="dxa"/>
            <w:tcBorders>
              <w:bottom w:val="single" w:sz="4" w:space="0" w:color="auto"/>
            </w:tcBorders>
          </w:tcPr>
          <w:p w14:paraId="05D35811" w14:textId="07135D8B" w:rsidR="008C7C22" w:rsidRPr="009C2D3B" w:rsidRDefault="008C7C22" w:rsidP="00FF6361">
            <w:r w:rsidRPr="009C2D3B">
              <w:t>Website update</w:t>
            </w:r>
          </w:p>
        </w:tc>
        <w:tc>
          <w:tcPr>
            <w:tcW w:w="1418" w:type="dxa"/>
            <w:tcBorders>
              <w:bottom w:val="single" w:sz="4" w:space="0" w:color="auto"/>
            </w:tcBorders>
          </w:tcPr>
          <w:p w14:paraId="17E642AB" w14:textId="082AED4B" w:rsidR="008C7C22" w:rsidRPr="009C2D3B" w:rsidRDefault="008C7C22" w:rsidP="00FF6361">
            <w:r w:rsidRPr="009C2D3B">
              <w:t>2,000.00</w:t>
            </w:r>
          </w:p>
        </w:tc>
        <w:tc>
          <w:tcPr>
            <w:tcW w:w="4342" w:type="dxa"/>
            <w:tcBorders>
              <w:bottom w:val="single" w:sz="4" w:space="0" w:color="auto"/>
            </w:tcBorders>
          </w:tcPr>
          <w:p w14:paraId="6B5C5FB0" w14:textId="2BFA1D60" w:rsidR="008C7C22" w:rsidRPr="009C2D3B" w:rsidRDefault="008C7C22" w:rsidP="00FF6361">
            <w:pPr>
              <w:rPr>
                <w:rFonts w:ascii="Calibri" w:hAnsi="Calibri" w:cs="Calibri"/>
                <w:color w:val="111111"/>
                <w:sz w:val="16"/>
                <w:szCs w:val="16"/>
              </w:rPr>
            </w:pPr>
            <w:r>
              <w:rPr>
                <w:rFonts w:ascii="Calibri" w:hAnsi="Calibri" w:cs="Calibri"/>
                <w:color w:val="111111"/>
                <w:sz w:val="16"/>
                <w:szCs w:val="16"/>
              </w:rPr>
              <w:t>Local Government Act (LGA) 1972, section 142.</w:t>
            </w:r>
          </w:p>
        </w:tc>
      </w:tr>
      <w:tr w:rsidR="008C7C22" w14:paraId="30A70F8A" w14:textId="51CFD786" w:rsidTr="00380212">
        <w:tc>
          <w:tcPr>
            <w:tcW w:w="4111" w:type="dxa"/>
            <w:tcBorders>
              <w:top w:val="single" w:sz="4" w:space="0" w:color="auto"/>
              <w:left w:val="single" w:sz="4" w:space="0" w:color="auto"/>
              <w:bottom w:val="single" w:sz="4" w:space="0" w:color="auto"/>
            </w:tcBorders>
          </w:tcPr>
          <w:p w14:paraId="39337E43" w14:textId="341493ED" w:rsidR="008C7C22" w:rsidRPr="00C8642C" w:rsidRDefault="008C7C22" w:rsidP="00FF6361">
            <w:pPr>
              <w:rPr>
                <w:b/>
                <w:bCs/>
              </w:rPr>
            </w:pPr>
            <w:r w:rsidRPr="00C8642C">
              <w:rPr>
                <w:b/>
                <w:bCs/>
              </w:rPr>
              <w:t>Total</w:t>
            </w:r>
          </w:p>
        </w:tc>
        <w:tc>
          <w:tcPr>
            <w:tcW w:w="1418" w:type="dxa"/>
            <w:tcBorders>
              <w:top w:val="single" w:sz="4" w:space="0" w:color="auto"/>
              <w:bottom w:val="single" w:sz="4" w:space="0" w:color="auto"/>
            </w:tcBorders>
          </w:tcPr>
          <w:p w14:paraId="077FA9CF" w14:textId="3B8F99CE" w:rsidR="008C7C22" w:rsidRPr="00C8642C" w:rsidRDefault="008C7C22" w:rsidP="00FF6361">
            <w:pPr>
              <w:rPr>
                <w:b/>
                <w:bCs/>
              </w:rPr>
            </w:pPr>
            <w:r>
              <w:rPr>
                <w:b/>
                <w:bCs/>
              </w:rPr>
              <w:t>£</w:t>
            </w:r>
            <w:r w:rsidRPr="00C8642C">
              <w:rPr>
                <w:b/>
                <w:bCs/>
              </w:rPr>
              <w:t>64,640.00</w:t>
            </w:r>
          </w:p>
        </w:tc>
        <w:tc>
          <w:tcPr>
            <w:tcW w:w="4342" w:type="dxa"/>
            <w:tcBorders>
              <w:top w:val="single" w:sz="4" w:space="0" w:color="auto"/>
              <w:bottom w:val="single" w:sz="4" w:space="0" w:color="auto"/>
              <w:right w:val="single" w:sz="4" w:space="0" w:color="auto"/>
            </w:tcBorders>
          </w:tcPr>
          <w:p w14:paraId="2D8C21CC" w14:textId="77777777" w:rsidR="008C7C22" w:rsidRDefault="008C7C22" w:rsidP="00FF6361"/>
        </w:tc>
      </w:tr>
    </w:tbl>
    <w:p w14:paraId="2D5F25AA" w14:textId="77777777" w:rsidR="00AD64F5" w:rsidRDefault="00AD64F5" w:rsidP="00AD64F5"/>
    <w:p w14:paraId="3BC9D99E" w14:textId="4D6B6DC6" w:rsidR="00FF6361" w:rsidRDefault="009C2D3B" w:rsidP="009C2D3B">
      <w:pPr>
        <w:pStyle w:val="Heading1"/>
      </w:pPr>
      <w:r>
        <w:t xml:space="preserve">Capital </w:t>
      </w:r>
      <w:r w:rsidR="00C8642C">
        <w:t>R</w:t>
      </w:r>
      <w:r>
        <w:t>eserves</w:t>
      </w:r>
    </w:p>
    <w:p w14:paraId="40FCE565" w14:textId="31BF2558" w:rsidR="00AD64F5" w:rsidRPr="00AD64F5" w:rsidRDefault="00C8642C" w:rsidP="00AD64F5">
      <w:pPr>
        <w:spacing w:after="160" w:line="259" w:lineRule="auto"/>
      </w:pPr>
      <w:r w:rsidRPr="00AD64F5">
        <w:t>Ripponden Parish Council has a capital reserve of monies remaining from the sale of Central Hall in Ripponden.</w:t>
      </w:r>
      <w:r w:rsidR="00AD64F5">
        <w:t xml:space="preserve"> </w:t>
      </w:r>
      <w:r w:rsidR="00AD64F5" w:rsidRPr="00AD64F5">
        <w:t xml:space="preserve">The Parish Council reviewed this </w:t>
      </w:r>
      <w:r w:rsidR="00AD64F5">
        <w:t xml:space="preserve">reserve </w:t>
      </w:r>
      <w:r w:rsidR="00AD64F5" w:rsidRPr="00AD64F5">
        <w:t>in November 2023 and set out what the</w:t>
      </w:r>
      <w:r w:rsidR="00AD64F5">
        <w:t xml:space="preserve"> </w:t>
      </w:r>
      <w:r w:rsidR="00DD342D">
        <w:t xml:space="preserve">reserve may be </w:t>
      </w:r>
      <w:r w:rsidR="00AD64F5" w:rsidRPr="00AD64F5">
        <w:t xml:space="preserve">used for in the </w:t>
      </w:r>
      <w:r w:rsidR="006E3E42">
        <w:t xml:space="preserve">coming </w:t>
      </w:r>
      <w:r w:rsidR="00AD64F5" w:rsidRPr="00AD64F5">
        <w:t xml:space="preserve">years. </w:t>
      </w:r>
    </w:p>
    <w:p w14:paraId="4C2E0A1D" w14:textId="66389364" w:rsidR="00C8642C" w:rsidRPr="009C2D3B" w:rsidRDefault="00C8642C" w:rsidP="00C8642C">
      <w:pPr>
        <w:pStyle w:val="Heading2"/>
      </w:pPr>
      <w:r>
        <w:t xml:space="preserve">Purpose  </w:t>
      </w:r>
    </w:p>
    <w:p w14:paraId="3D3C8FC1" w14:textId="1687913F" w:rsidR="00C8642C" w:rsidRPr="00C8642C" w:rsidRDefault="00C8642C" w:rsidP="00C8642C">
      <w:pPr>
        <w:ind w:left="-5"/>
      </w:pPr>
      <w:r w:rsidRPr="00C8642C">
        <w:t xml:space="preserve">The purpose of the capital reserve is to enable the purchase of </w:t>
      </w:r>
      <w:r w:rsidRPr="002E67EA">
        <w:rPr>
          <w:b/>
          <w:bCs/>
        </w:rPr>
        <w:t>new</w:t>
      </w:r>
      <w:r w:rsidRPr="00C8642C">
        <w:t xml:space="preserve"> capital assets as and when an opportunity arises that the Parish Council wishes to pursue. This fund </w:t>
      </w:r>
      <w:r w:rsidR="00E1376F">
        <w:t xml:space="preserve">can also be used </w:t>
      </w:r>
      <w:r w:rsidRPr="00C8642C">
        <w:t xml:space="preserve">for the purchase of small assets – for example, IT </w:t>
      </w:r>
      <w:r w:rsidR="00AD64F5">
        <w:t>e</w:t>
      </w:r>
      <w:r w:rsidRPr="00C8642C">
        <w:t xml:space="preserve">quipment -- but this is not the primary purpose of this fund. </w:t>
      </w:r>
    </w:p>
    <w:tbl>
      <w:tblPr>
        <w:tblStyle w:val="TableGrid"/>
        <w:tblW w:w="9837"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4248"/>
        <w:gridCol w:w="1384"/>
        <w:gridCol w:w="4205"/>
      </w:tblGrid>
      <w:tr w:rsidR="00AD64F5" w:rsidRPr="009C2D3B" w14:paraId="60A21D9F" w14:textId="77777777" w:rsidTr="00AD64F5">
        <w:tc>
          <w:tcPr>
            <w:tcW w:w="4248" w:type="dxa"/>
          </w:tcPr>
          <w:p w14:paraId="53776121" w14:textId="045412C6" w:rsidR="00AD64F5" w:rsidRPr="009C2D3B" w:rsidRDefault="000E70CB" w:rsidP="00EA66BE">
            <w:pPr>
              <w:rPr>
                <w:b/>
                <w:bCs/>
              </w:rPr>
            </w:pPr>
            <w:r>
              <w:rPr>
                <w:b/>
                <w:bCs/>
              </w:rPr>
              <w:t>Allocation</w:t>
            </w:r>
            <w:r w:rsidR="00925900">
              <w:rPr>
                <w:b/>
                <w:bCs/>
              </w:rPr>
              <w:t xml:space="preserve"> </w:t>
            </w:r>
          </w:p>
        </w:tc>
        <w:tc>
          <w:tcPr>
            <w:tcW w:w="1384" w:type="dxa"/>
          </w:tcPr>
          <w:p w14:paraId="25D60B01" w14:textId="72A66065" w:rsidR="00AD64F5" w:rsidRPr="009C2D3B" w:rsidRDefault="00F05868" w:rsidP="00EA66BE">
            <w:pPr>
              <w:rPr>
                <w:b/>
                <w:bCs/>
              </w:rPr>
            </w:pPr>
            <w:r>
              <w:rPr>
                <w:b/>
                <w:bCs/>
              </w:rPr>
              <w:t>Potential c</w:t>
            </w:r>
            <w:r w:rsidR="00AD64F5" w:rsidRPr="009C2D3B">
              <w:rPr>
                <w:b/>
                <w:bCs/>
              </w:rPr>
              <w:t>ontribution</w:t>
            </w:r>
          </w:p>
        </w:tc>
        <w:tc>
          <w:tcPr>
            <w:tcW w:w="4205" w:type="dxa"/>
          </w:tcPr>
          <w:p w14:paraId="478BFE28" w14:textId="77777777" w:rsidR="00AD64F5" w:rsidRPr="009C2D3B" w:rsidRDefault="00AD64F5" w:rsidP="00EA66BE">
            <w:pPr>
              <w:rPr>
                <w:b/>
                <w:bCs/>
              </w:rPr>
            </w:pPr>
            <w:r w:rsidRPr="009C2D3B">
              <w:rPr>
                <w:b/>
                <w:bCs/>
              </w:rPr>
              <w:t>Power</w:t>
            </w:r>
            <w:r>
              <w:rPr>
                <w:b/>
                <w:bCs/>
              </w:rPr>
              <w:t>/duty to incur expenditure</w:t>
            </w:r>
          </w:p>
        </w:tc>
      </w:tr>
      <w:tr w:rsidR="00AD64F5" w:rsidRPr="009C2D3B" w14:paraId="515339E4" w14:textId="77777777" w:rsidTr="00AD64F5">
        <w:tc>
          <w:tcPr>
            <w:tcW w:w="4248" w:type="dxa"/>
            <w:vAlign w:val="bottom"/>
          </w:tcPr>
          <w:p w14:paraId="4657357A" w14:textId="606267C4" w:rsidR="00AD64F5" w:rsidRDefault="00AD64F5" w:rsidP="00AD64F5">
            <w:r w:rsidRPr="00EF4818">
              <w:rPr>
                <w:rFonts w:ascii="Calibri" w:eastAsia="Times New Roman" w:hAnsi="Calibri" w:cs="Calibri"/>
                <w:lang w:eastAsia="en-GB"/>
              </w:rPr>
              <w:t>Festive lights</w:t>
            </w:r>
          </w:p>
        </w:tc>
        <w:tc>
          <w:tcPr>
            <w:tcW w:w="1384" w:type="dxa"/>
            <w:vAlign w:val="bottom"/>
          </w:tcPr>
          <w:p w14:paraId="1AAB658F" w14:textId="3A33AD55" w:rsidR="00AD64F5" w:rsidRDefault="00AD64F5" w:rsidP="00AD64F5">
            <w:r w:rsidRPr="00EF4818">
              <w:rPr>
                <w:rFonts w:ascii="Calibri" w:eastAsia="Times New Roman" w:hAnsi="Calibri" w:cs="Calibri"/>
                <w:lang w:eastAsia="en-GB"/>
              </w:rPr>
              <w:t>12,000.00</w:t>
            </w:r>
          </w:p>
        </w:tc>
        <w:tc>
          <w:tcPr>
            <w:tcW w:w="4205" w:type="dxa"/>
          </w:tcPr>
          <w:p w14:paraId="5FFEE991" w14:textId="7DE2C3C5" w:rsidR="00AD64F5" w:rsidRPr="00AD64F5" w:rsidRDefault="00DD03F7" w:rsidP="00AD64F5">
            <w:pPr>
              <w:rPr>
                <w:rFonts w:ascii="Calibri" w:hAnsi="Calibri" w:cs="Calibri"/>
                <w:color w:val="111111"/>
                <w:sz w:val="16"/>
                <w:szCs w:val="16"/>
              </w:rPr>
            </w:pPr>
            <w:r>
              <w:rPr>
                <w:rFonts w:ascii="Calibri" w:hAnsi="Calibri" w:cs="Calibri"/>
                <w:color w:val="111111"/>
                <w:sz w:val="16"/>
                <w:szCs w:val="16"/>
              </w:rPr>
              <w:t>Local Government Act (LGA) 1972</w:t>
            </w:r>
            <w:r w:rsidR="00AD64F5">
              <w:rPr>
                <w:rFonts w:ascii="Calibri" w:hAnsi="Calibri" w:cs="Calibri"/>
                <w:color w:val="111111"/>
                <w:sz w:val="16"/>
                <w:szCs w:val="16"/>
              </w:rPr>
              <w:t>, section 144.</w:t>
            </w:r>
          </w:p>
        </w:tc>
      </w:tr>
      <w:tr w:rsidR="00AD64F5" w:rsidRPr="009C2D3B" w14:paraId="194AE20E" w14:textId="77777777" w:rsidTr="00AD64F5">
        <w:tc>
          <w:tcPr>
            <w:tcW w:w="4248" w:type="dxa"/>
            <w:vAlign w:val="bottom"/>
          </w:tcPr>
          <w:p w14:paraId="3475992A" w14:textId="7119104A" w:rsidR="00AD64F5" w:rsidRPr="00FF6361" w:rsidRDefault="00AD64F5" w:rsidP="00AD64F5">
            <w:r w:rsidRPr="00EF4818">
              <w:rPr>
                <w:rFonts w:ascii="Calibri" w:eastAsia="Times New Roman" w:hAnsi="Calibri" w:cs="Calibri"/>
                <w:lang w:eastAsia="en-GB"/>
              </w:rPr>
              <w:t xml:space="preserve">Playground </w:t>
            </w:r>
            <w:r w:rsidR="00625463">
              <w:rPr>
                <w:rFonts w:ascii="Calibri" w:eastAsia="Times New Roman" w:hAnsi="Calibri" w:cs="Calibri"/>
                <w:lang w:eastAsia="en-GB"/>
              </w:rPr>
              <w:t>equipment</w:t>
            </w:r>
          </w:p>
        </w:tc>
        <w:tc>
          <w:tcPr>
            <w:tcW w:w="1384" w:type="dxa"/>
            <w:vAlign w:val="bottom"/>
          </w:tcPr>
          <w:p w14:paraId="1E81BE85" w14:textId="2DCCC2F4" w:rsidR="00AD64F5" w:rsidRPr="00FF6361" w:rsidRDefault="00AD64F5" w:rsidP="00AD64F5">
            <w:r w:rsidRPr="00EF4818">
              <w:rPr>
                <w:rFonts w:ascii="Calibri" w:eastAsia="Times New Roman" w:hAnsi="Calibri" w:cs="Calibri"/>
                <w:lang w:eastAsia="en-GB"/>
              </w:rPr>
              <w:t>7,000.00</w:t>
            </w:r>
          </w:p>
        </w:tc>
        <w:tc>
          <w:tcPr>
            <w:tcW w:w="4205" w:type="dxa"/>
          </w:tcPr>
          <w:p w14:paraId="4FF5870D" w14:textId="5B5FCE47" w:rsidR="00AD64F5" w:rsidRDefault="00AD64F5" w:rsidP="00AD64F5">
            <w:pPr>
              <w:rPr>
                <w:rFonts w:ascii="Calibri" w:hAnsi="Calibri" w:cs="Calibri"/>
                <w:color w:val="000000"/>
                <w:sz w:val="16"/>
                <w:szCs w:val="16"/>
              </w:rPr>
            </w:pPr>
            <w:r>
              <w:rPr>
                <w:rFonts w:ascii="Calibri" w:hAnsi="Calibri" w:cs="Calibri"/>
                <w:color w:val="000000"/>
                <w:sz w:val="16"/>
                <w:szCs w:val="16"/>
              </w:rPr>
              <w:t>Local Government (Miscellaneous Provisions) Act 1976, S19.</w:t>
            </w:r>
          </w:p>
        </w:tc>
      </w:tr>
      <w:tr w:rsidR="00AD64F5" w:rsidRPr="009C2D3B" w14:paraId="130AF403" w14:textId="77777777" w:rsidTr="00AD64F5">
        <w:tc>
          <w:tcPr>
            <w:tcW w:w="4248" w:type="dxa"/>
            <w:vAlign w:val="bottom"/>
          </w:tcPr>
          <w:p w14:paraId="69BFDC37" w14:textId="18350FCC" w:rsidR="00AD64F5" w:rsidRPr="00FF6361" w:rsidRDefault="00625463" w:rsidP="00AD64F5">
            <w:r>
              <w:rPr>
                <w:rFonts w:ascii="Calibri" w:eastAsia="Times New Roman" w:hAnsi="Calibri" w:cs="Calibri"/>
                <w:lang w:eastAsia="en-GB"/>
              </w:rPr>
              <w:t>Public space r</w:t>
            </w:r>
            <w:r w:rsidR="00AD64F5" w:rsidRPr="00EF4818">
              <w:rPr>
                <w:rFonts w:ascii="Calibri" w:eastAsia="Times New Roman" w:hAnsi="Calibri" w:cs="Calibri"/>
                <w:lang w:eastAsia="en-GB"/>
              </w:rPr>
              <w:t>ailings</w:t>
            </w:r>
            <w:r w:rsidR="00D36E04">
              <w:rPr>
                <w:rFonts w:ascii="Calibri" w:eastAsia="Times New Roman" w:hAnsi="Calibri" w:cs="Calibri"/>
                <w:lang w:eastAsia="en-GB"/>
              </w:rPr>
              <w:t xml:space="preserve"> </w:t>
            </w:r>
          </w:p>
        </w:tc>
        <w:tc>
          <w:tcPr>
            <w:tcW w:w="1384" w:type="dxa"/>
            <w:vAlign w:val="bottom"/>
          </w:tcPr>
          <w:p w14:paraId="00702AF0" w14:textId="3048DA4E" w:rsidR="00AD64F5" w:rsidRPr="00FF6361" w:rsidRDefault="00AD64F5" w:rsidP="00AD64F5">
            <w:r w:rsidRPr="00EF4818">
              <w:rPr>
                <w:rFonts w:ascii="Calibri" w:eastAsia="Times New Roman" w:hAnsi="Calibri" w:cs="Calibri"/>
                <w:lang w:eastAsia="en-GB"/>
              </w:rPr>
              <w:t>10,000.00</w:t>
            </w:r>
          </w:p>
        </w:tc>
        <w:tc>
          <w:tcPr>
            <w:tcW w:w="4205" w:type="dxa"/>
          </w:tcPr>
          <w:p w14:paraId="2FDB81AF" w14:textId="0E38344A" w:rsidR="00AD64F5" w:rsidRDefault="00AD64F5" w:rsidP="00AD64F5">
            <w:pPr>
              <w:rPr>
                <w:rFonts w:ascii="Calibri" w:hAnsi="Calibri" w:cs="Calibri"/>
                <w:color w:val="000000"/>
                <w:sz w:val="16"/>
                <w:szCs w:val="16"/>
              </w:rPr>
            </w:pPr>
            <w:r>
              <w:rPr>
                <w:rFonts w:ascii="Calibri" w:hAnsi="Calibri" w:cs="Calibri"/>
                <w:color w:val="000000"/>
                <w:sz w:val="16"/>
                <w:szCs w:val="16"/>
              </w:rPr>
              <w:t>Highways Act 1980, S96.</w:t>
            </w:r>
          </w:p>
        </w:tc>
      </w:tr>
      <w:tr w:rsidR="00AD64F5" w:rsidRPr="009C2D3B" w14:paraId="53A6AA8D" w14:textId="77777777" w:rsidTr="00AD64F5">
        <w:tc>
          <w:tcPr>
            <w:tcW w:w="4248" w:type="dxa"/>
            <w:vAlign w:val="bottom"/>
          </w:tcPr>
          <w:p w14:paraId="6C42EAB8" w14:textId="0F6D22C4" w:rsidR="00AD64F5" w:rsidRPr="00FF6361" w:rsidRDefault="00AD64F5" w:rsidP="00AD64F5">
            <w:r w:rsidRPr="00EF4818">
              <w:rPr>
                <w:rFonts w:ascii="Calibri" w:eastAsia="Times New Roman" w:hAnsi="Calibri" w:cs="Calibri"/>
                <w:color w:val="000000"/>
                <w:lang w:eastAsia="en-GB"/>
              </w:rPr>
              <w:t>CCTV</w:t>
            </w:r>
            <w:r w:rsidR="004808B5">
              <w:rPr>
                <w:rFonts w:ascii="Calibri" w:eastAsia="Times New Roman" w:hAnsi="Calibri" w:cs="Calibri"/>
                <w:color w:val="000000"/>
                <w:lang w:eastAsia="en-GB"/>
              </w:rPr>
              <w:t xml:space="preserve"> for the detection or prevention of crime</w:t>
            </w:r>
            <w:r w:rsidR="00D36E04">
              <w:rPr>
                <w:rFonts w:ascii="Calibri" w:eastAsia="Times New Roman" w:hAnsi="Calibri" w:cs="Calibri"/>
                <w:color w:val="000000"/>
                <w:lang w:eastAsia="en-GB"/>
              </w:rPr>
              <w:t xml:space="preserve"> </w:t>
            </w:r>
          </w:p>
        </w:tc>
        <w:tc>
          <w:tcPr>
            <w:tcW w:w="1384" w:type="dxa"/>
            <w:vAlign w:val="bottom"/>
          </w:tcPr>
          <w:p w14:paraId="5E3389E1" w14:textId="6F3760AC" w:rsidR="00AD64F5" w:rsidRPr="00FF6361" w:rsidRDefault="00AD64F5" w:rsidP="00AD64F5">
            <w:r w:rsidRPr="00EF4818">
              <w:rPr>
                <w:rFonts w:ascii="Calibri" w:eastAsia="Times New Roman" w:hAnsi="Calibri" w:cs="Calibri"/>
                <w:color w:val="000000"/>
                <w:lang w:eastAsia="en-GB"/>
              </w:rPr>
              <w:t>10,000.00</w:t>
            </w:r>
          </w:p>
        </w:tc>
        <w:tc>
          <w:tcPr>
            <w:tcW w:w="4205" w:type="dxa"/>
          </w:tcPr>
          <w:p w14:paraId="225C8D55" w14:textId="670D8F1D" w:rsidR="00AD64F5" w:rsidRDefault="00AD64F5" w:rsidP="00AD64F5">
            <w:pPr>
              <w:rPr>
                <w:rFonts w:ascii="Calibri" w:hAnsi="Calibri" w:cs="Calibri"/>
                <w:color w:val="000000"/>
                <w:sz w:val="16"/>
                <w:szCs w:val="16"/>
              </w:rPr>
            </w:pPr>
            <w:r>
              <w:rPr>
                <w:rFonts w:ascii="Calibri" w:hAnsi="Calibri" w:cs="Calibri"/>
                <w:color w:val="000000"/>
                <w:sz w:val="16"/>
                <w:szCs w:val="16"/>
              </w:rPr>
              <w:t>Local Government and Rating Act 1997, S31.</w:t>
            </w:r>
          </w:p>
        </w:tc>
      </w:tr>
      <w:tr w:rsidR="00AD64F5" w:rsidRPr="009C2D3B" w14:paraId="353C1F7A" w14:textId="77777777" w:rsidTr="00AD64F5">
        <w:tc>
          <w:tcPr>
            <w:tcW w:w="4248" w:type="dxa"/>
            <w:tcBorders>
              <w:bottom w:val="single" w:sz="4" w:space="0" w:color="auto"/>
            </w:tcBorders>
            <w:vAlign w:val="bottom"/>
          </w:tcPr>
          <w:p w14:paraId="7043C0C0" w14:textId="3A84A14B" w:rsidR="00AD64F5" w:rsidRPr="00FF6361" w:rsidRDefault="00AD64F5" w:rsidP="00AD64F5">
            <w:r w:rsidRPr="00EF4818">
              <w:rPr>
                <w:rFonts w:ascii="Calibri" w:eastAsia="Times New Roman" w:hAnsi="Calibri" w:cs="Calibri"/>
                <w:color w:val="000000"/>
                <w:lang w:eastAsia="en-GB"/>
              </w:rPr>
              <w:t>Building renovation and conversion costs</w:t>
            </w:r>
          </w:p>
        </w:tc>
        <w:tc>
          <w:tcPr>
            <w:tcW w:w="1384" w:type="dxa"/>
            <w:tcBorders>
              <w:bottom w:val="single" w:sz="4" w:space="0" w:color="auto"/>
            </w:tcBorders>
            <w:vAlign w:val="bottom"/>
          </w:tcPr>
          <w:p w14:paraId="7246849A" w14:textId="0D2C8900" w:rsidR="00AD64F5" w:rsidRPr="00FF6361" w:rsidRDefault="00AD64F5" w:rsidP="00AD64F5">
            <w:r w:rsidRPr="00EF4818">
              <w:rPr>
                <w:rFonts w:ascii="Calibri" w:eastAsia="Times New Roman" w:hAnsi="Calibri" w:cs="Calibri"/>
                <w:color w:val="000000"/>
                <w:lang w:eastAsia="en-GB"/>
              </w:rPr>
              <w:t>12,000.00</w:t>
            </w:r>
          </w:p>
        </w:tc>
        <w:tc>
          <w:tcPr>
            <w:tcW w:w="4205" w:type="dxa"/>
            <w:tcBorders>
              <w:bottom w:val="single" w:sz="4" w:space="0" w:color="auto"/>
            </w:tcBorders>
          </w:tcPr>
          <w:p w14:paraId="14344B5E" w14:textId="03ED2AE4" w:rsidR="00AD64F5" w:rsidRDefault="00DD03F7" w:rsidP="00AD64F5">
            <w:pPr>
              <w:rPr>
                <w:rFonts w:ascii="Calibri" w:hAnsi="Calibri" w:cs="Calibri"/>
                <w:color w:val="000000"/>
                <w:sz w:val="16"/>
                <w:szCs w:val="16"/>
              </w:rPr>
            </w:pPr>
            <w:r>
              <w:rPr>
                <w:rFonts w:ascii="Calibri" w:hAnsi="Calibri" w:cs="Calibri"/>
                <w:color w:val="111111"/>
                <w:sz w:val="16"/>
                <w:szCs w:val="16"/>
              </w:rPr>
              <w:t>Local Government Act (LGA) 1972</w:t>
            </w:r>
            <w:r w:rsidR="00AD64F5">
              <w:rPr>
                <w:rFonts w:ascii="Calibri" w:hAnsi="Calibri" w:cs="Calibri"/>
                <w:color w:val="000000"/>
                <w:sz w:val="16"/>
                <w:szCs w:val="16"/>
              </w:rPr>
              <w:t>, section 133.</w:t>
            </w:r>
          </w:p>
        </w:tc>
      </w:tr>
      <w:tr w:rsidR="00AD64F5" w:rsidRPr="009C2D3B" w14:paraId="5DD8FB95" w14:textId="77777777" w:rsidTr="00AD64F5">
        <w:tc>
          <w:tcPr>
            <w:tcW w:w="4248" w:type="dxa"/>
            <w:tcBorders>
              <w:top w:val="single" w:sz="4" w:space="0" w:color="auto"/>
              <w:left w:val="single" w:sz="4" w:space="0" w:color="auto"/>
              <w:bottom w:val="single" w:sz="4" w:space="0" w:color="auto"/>
            </w:tcBorders>
          </w:tcPr>
          <w:p w14:paraId="7ADB2797" w14:textId="20E0D644" w:rsidR="00AD64F5" w:rsidRPr="00FF6361" w:rsidRDefault="00AD64F5" w:rsidP="00AD64F5">
            <w:r w:rsidRPr="00C8642C">
              <w:rPr>
                <w:b/>
                <w:bCs/>
              </w:rPr>
              <w:t>Total</w:t>
            </w:r>
          </w:p>
        </w:tc>
        <w:tc>
          <w:tcPr>
            <w:tcW w:w="1384" w:type="dxa"/>
            <w:tcBorders>
              <w:top w:val="single" w:sz="4" w:space="0" w:color="auto"/>
              <w:bottom w:val="single" w:sz="4" w:space="0" w:color="auto"/>
            </w:tcBorders>
            <w:vAlign w:val="bottom"/>
          </w:tcPr>
          <w:p w14:paraId="448ACEFB" w14:textId="0F0C4D74" w:rsidR="00AD64F5" w:rsidRPr="00AD64F5" w:rsidRDefault="002E529B" w:rsidP="00AD64F5">
            <w:pPr>
              <w:rPr>
                <w:b/>
                <w:bCs/>
              </w:rPr>
            </w:pPr>
            <w:r>
              <w:rPr>
                <w:rFonts w:ascii="Calibri" w:eastAsia="Times New Roman" w:hAnsi="Calibri" w:cs="Calibri"/>
                <w:b/>
                <w:bCs/>
                <w:color w:val="000000"/>
                <w:lang w:eastAsia="en-GB"/>
              </w:rPr>
              <w:t>£</w:t>
            </w:r>
            <w:r w:rsidR="00AD64F5" w:rsidRPr="00AD64F5">
              <w:rPr>
                <w:rFonts w:ascii="Calibri" w:eastAsia="Times New Roman" w:hAnsi="Calibri" w:cs="Calibri"/>
                <w:b/>
                <w:bCs/>
                <w:color w:val="000000"/>
                <w:lang w:eastAsia="en-GB"/>
              </w:rPr>
              <w:t>51,000.00</w:t>
            </w:r>
          </w:p>
        </w:tc>
        <w:tc>
          <w:tcPr>
            <w:tcW w:w="4205" w:type="dxa"/>
            <w:tcBorders>
              <w:top w:val="single" w:sz="4" w:space="0" w:color="auto"/>
              <w:bottom w:val="single" w:sz="4" w:space="0" w:color="auto"/>
              <w:right w:val="single" w:sz="4" w:space="0" w:color="auto"/>
            </w:tcBorders>
          </w:tcPr>
          <w:p w14:paraId="7666B920" w14:textId="77777777" w:rsidR="00AD64F5" w:rsidRDefault="00AD64F5" w:rsidP="00AD64F5">
            <w:pPr>
              <w:rPr>
                <w:rFonts w:ascii="Calibri" w:hAnsi="Calibri" w:cs="Calibri"/>
                <w:color w:val="000000"/>
                <w:sz w:val="16"/>
                <w:szCs w:val="16"/>
              </w:rPr>
            </w:pPr>
          </w:p>
        </w:tc>
      </w:tr>
    </w:tbl>
    <w:p w14:paraId="0D9D5B13" w14:textId="77777777" w:rsidR="00CA0CD8" w:rsidRDefault="00CA0CD8" w:rsidP="00CA0CD8"/>
    <w:p w14:paraId="2A00DD25" w14:textId="278DE8A6" w:rsidR="00B8289F" w:rsidRDefault="00B8289F" w:rsidP="00B8289F">
      <w:pPr>
        <w:pStyle w:val="Heading1"/>
      </w:pPr>
      <w:r>
        <w:t>Procedures for the management and Control of reserves</w:t>
      </w:r>
    </w:p>
    <w:p w14:paraId="6CE64EE6" w14:textId="31B3E546" w:rsidR="000F1178" w:rsidRDefault="000F1178" w:rsidP="000F1178">
      <w:r>
        <w:t>Movements in Specific Reserves and General Reserves shall be reported to the Full Council on a quarterly basis as part of the normal accounting reports, and on an annual basis as part of the annual accounting report. The use of Reserves shall be approved by the Council having regard to this policy and the Parish Council’s Financial Regulations.</w:t>
      </w:r>
    </w:p>
    <w:p w14:paraId="4FA62A14" w14:textId="35EAD941" w:rsidR="00C8642C" w:rsidRDefault="00AD64F5" w:rsidP="00AD64F5">
      <w:pPr>
        <w:pStyle w:val="Heading1"/>
      </w:pPr>
      <w:r>
        <w:t>version</w:t>
      </w:r>
      <w:r w:rsidR="00DC3E4F">
        <w:t xml:space="preserve"> Dates</w:t>
      </w:r>
    </w:p>
    <w:p w14:paraId="47EE16CB" w14:textId="25F5C4A5" w:rsidR="00AD64F5" w:rsidRPr="00D129E8" w:rsidRDefault="00AD64F5" w:rsidP="00AD64F5">
      <w:pPr>
        <w:rPr>
          <w:i/>
          <w:iCs/>
        </w:rPr>
      </w:pPr>
    </w:p>
    <w:tbl>
      <w:tblPr>
        <w:tblStyle w:val="TableGrid"/>
        <w:tblW w:w="10201" w:type="dxa"/>
        <w:tblLook w:val="04A0" w:firstRow="1" w:lastRow="0" w:firstColumn="1" w:lastColumn="0" w:noHBand="0" w:noVBand="1"/>
      </w:tblPr>
      <w:tblGrid>
        <w:gridCol w:w="4531"/>
        <w:gridCol w:w="3402"/>
        <w:gridCol w:w="2268"/>
      </w:tblGrid>
      <w:tr w:rsidR="00983ED4" w:rsidRPr="009C2D3B" w14:paraId="3A2AE039" w14:textId="77777777" w:rsidTr="006D403E">
        <w:trPr>
          <w:trHeight w:val="418"/>
        </w:trPr>
        <w:tc>
          <w:tcPr>
            <w:tcW w:w="4531" w:type="dxa"/>
          </w:tcPr>
          <w:p w14:paraId="18F82F7C" w14:textId="7C9B9A87" w:rsidR="00983ED4" w:rsidRPr="00983ED4" w:rsidRDefault="00983ED4" w:rsidP="00983ED4">
            <w:pPr>
              <w:spacing w:after="200" w:line="276" w:lineRule="auto"/>
              <w:rPr>
                <w:rFonts w:cstheme="minorHAnsi"/>
                <w:b/>
                <w:bCs/>
              </w:rPr>
            </w:pPr>
            <w:r>
              <w:rPr>
                <w:i/>
                <w:iCs/>
              </w:rPr>
              <w:t>Reserves a</w:t>
            </w:r>
            <w:r w:rsidRPr="00E60629">
              <w:rPr>
                <w:i/>
                <w:iCs/>
              </w:rPr>
              <w:t xml:space="preserve">uthorised by Council on 30 November 2023, resolution number </w:t>
            </w:r>
            <w:r w:rsidRPr="00E60629">
              <w:rPr>
                <w:rStyle w:val="eop"/>
                <w:rFonts w:cstheme="minorHAnsi"/>
                <w:b/>
                <w:bCs/>
                <w:i/>
                <w:iCs/>
              </w:rPr>
              <w:t xml:space="preserve">18942, </w:t>
            </w:r>
            <w:r w:rsidRPr="00E60629">
              <w:rPr>
                <w:rStyle w:val="eop"/>
                <w:rFonts w:cstheme="minorHAnsi"/>
                <w:i/>
                <w:iCs/>
              </w:rPr>
              <w:t>page number</w:t>
            </w:r>
            <w:r w:rsidRPr="00E60629">
              <w:rPr>
                <w:rStyle w:val="eop"/>
                <w:rFonts w:cstheme="minorHAnsi"/>
                <w:b/>
                <w:bCs/>
                <w:i/>
                <w:iCs/>
              </w:rPr>
              <w:t xml:space="preserve"> 6807.</w:t>
            </w:r>
          </w:p>
        </w:tc>
        <w:tc>
          <w:tcPr>
            <w:tcW w:w="3402" w:type="dxa"/>
          </w:tcPr>
          <w:p w14:paraId="04427155" w14:textId="774461D1" w:rsidR="008A54C1" w:rsidRPr="006D403E" w:rsidRDefault="00983ED4" w:rsidP="006D403E">
            <w:r>
              <w:rPr>
                <w:b/>
                <w:bCs/>
              </w:rPr>
              <w:t>Policy adopted</w:t>
            </w:r>
            <w:r w:rsidR="006D403E">
              <w:rPr>
                <w:b/>
                <w:bCs/>
              </w:rPr>
              <w:t xml:space="preserve"> by Full Council</w:t>
            </w:r>
            <w:r>
              <w:rPr>
                <w:b/>
                <w:bCs/>
              </w:rPr>
              <w:t>:</w:t>
            </w:r>
            <w:r w:rsidR="006D403E">
              <w:rPr>
                <w:b/>
                <w:bCs/>
              </w:rPr>
              <w:t xml:space="preserve"> </w:t>
            </w:r>
            <w:r w:rsidR="006D403E" w:rsidRPr="00681D01">
              <w:t>R</w:t>
            </w:r>
            <w:r w:rsidR="008A54C1" w:rsidRPr="006D403E">
              <w:t xml:space="preserve">18967, page </w:t>
            </w:r>
            <w:r w:rsidR="006D403E" w:rsidRPr="006D403E">
              <w:t>6820</w:t>
            </w:r>
            <w:r w:rsidR="00681D01">
              <w:t>.</w:t>
            </w:r>
          </w:p>
        </w:tc>
        <w:tc>
          <w:tcPr>
            <w:tcW w:w="2268" w:type="dxa"/>
          </w:tcPr>
          <w:p w14:paraId="04026FB9" w14:textId="1E6111DD" w:rsidR="00983ED4" w:rsidRPr="009C2D3B" w:rsidRDefault="00983ED4" w:rsidP="00EA66BE">
            <w:pPr>
              <w:rPr>
                <w:b/>
                <w:bCs/>
              </w:rPr>
            </w:pPr>
            <w:r>
              <w:rPr>
                <w:b/>
                <w:bCs/>
              </w:rPr>
              <w:t>Review date: Dec 2024.</w:t>
            </w:r>
          </w:p>
        </w:tc>
      </w:tr>
    </w:tbl>
    <w:p w14:paraId="0DD3FF5C" w14:textId="77777777" w:rsidR="00AD64F5" w:rsidRPr="00AD64F5" w:rsidRDefault="00AD64F5" w:rsidP="00AD64F5"/>
    <w:sectPr w:rsidR="00AD64F5" w:rsidRPr="00AD64F5" w:rsidSect="00FF63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61"/>
    <w:rsid w:val="00021856"/>
    <w:rsid w:val="000A08C3"/>
    <w:rsid w:val="000E6845"/>
    <w:rsid w:val="000E70CB"/>
    <w:rsid w:val="000F1178"/>
    <w:rsid w:val="000F285E"/>
    <w:rsid w:val="001152A7"/>
    <w:rsid w:val="00182082"/>
    <w:rsid w:val="001D6430"/>
    <w:rsid w:val="00201D4F"/>
    <w:rsid w:val="00227F54"/>
    <w:rsid w:val="0024567C"/>
    <w:rsid w:val="002E529B"/>
    <w:rsid w:val="002E67EA"/>
    <w:rsid w:val="003062C6"/>
    <w:rsid w:val="00323874"/>
    <w:rsid w:val="00336806"/>
    <w:rsid w:val="0036773C"/>
    <w:rsid w:val="00380212"/>
    <w:rsid w:val="00384DED"/>
    <w:rsid w:val="003F3D40"/>
    <w:rsid w:val="004471D9"/>
    <w:rsid w:val="004808B5"/>
    <w:rsid w:val="0049788F"/>
    <w:rsid w:val="004B52EA"/>
    <w:rsid w:val="005057BA"/>
    <w:rsid w:val="00527A01"/>
    <w:rsid w:val="00545457"/>
    <w:rsid w:val="00545E3F"/>
    <w:rsid w:val="00577888"/>
    <w:rsid w:val="005E4CDF"/>
    <w:rsid w:val="00625463"/>
    <w:rsid w:val="006300FD"/>
    <w:rsid w:val="0066047E"/>
    <w:rsid w:val="00681D01"/>
    <w:rsid w:val="006844FC"/>
    <w:rsid w:val="006D403E"/>
    <w:rsid w:val="006E3E42"/>
    <w:rsid w:val="006F7FC7"/>
    <w:rsid w:val="007808E2"/>
    <w:rsid w:val="007977EF"/>
    <w:rsid w:val="007C7030"/>
    <w:rsid w:val="007D4132"/>
    <w:rsid w:val="008576B9"/>
    <w:rsid w:val="00860B3F"/>
    <w:rsid w:val="00896D6E"/>
    <w:rsid w:val="008A54C1"/>
    <w:rsid w:val="008B344B"/>
    <w:rsid w:val="008B4DC3"/>
    <w:rsid w:val="008C7C22"/>
    <w:rsid w:val="00925900"/>
    <w:rsid w:val="00983ED4"/>
    <w:rsid w:val="009C2D3B"/>
    <w:rsid w:val="009F3502"/>
    <w:rsid w:val="00A21E02"/>
    <w:rsid w:val="00A4002F"/>
    <w:rsid w:val="00A51E5A"/>
    <w:rsid w:val="00AD64F5"/>
    <w:rsid w:val="00AE208F"/>
    <w:rsid w:val="00B10CB5"/>
    <w:rsid w:val="00B47582"/>
    <w:rsid w:val="00B8189C"/>
    <w:rsid w:val="00B8289F"/>
    <w:rsid w:val="00C109D5"/>
    <w:rsid w:val="00C61755"/>
    <w:rsid w:val="00C74C5E"/>
    <w:rsid w:val="00C8642C"/>
    <w:rsid w:val="00C93BC6"/>
    <w:rsid w:val="00C97C2A"/>
    <w:rsid w:val="00CA0CD8"/>
    <w:rsid w:val="00CC4DCE"/>
    <w:rsid w:val="00D129E8"/>
    <w:rsid w:val="00D36E04"/>
    <w:rsid w:val="00D52A48"/>
    <w:rsid w:val="00DC3E4F"/>
    <w:rsid w:val="00DC5B23"/>
    <w:rsid w:val="00DD03F7"/>
    <w:rsid w:val="00DD2D53"/>
    <w:rsid w:val="00DD342D"/>
    <w:rsid w:val="00E00728"/>
    <w:rsid w:val="00E05D56"/>
    <w:rsid w:val="00E1376F"/>
    <w:rsid w:val="00E21F94"/>
    <w:rsid w:val="00E2491B"/>
    <w:rsid w:val="00EA6C9F"/>
    <w:rsid w:val="00ED2A9C"/>
    <w:rsid w:val="00ED76A3"/>
    <w:rsid w:val="00EE3522"/>
    <w:rsid w:val="00EF57DC"/>
    <w:rsid w:val="00F05868"/>
    <w:rsid w:val="00F16DD5"/>
    <w:rsid w:val="00F2143C"/>
    <w:rsid w:val="00F85428"/>
    <w:rsid w:val="00F90BA0"/>
    <w:rsid w:val="00FC33BC"/>
    <w:rsid w:val="00FF2B95"/>
    <w:rsid w:val="00FF6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BE83"/>
  <w15:chartTrackingRefBased/>
  <w15:docId w15:val="{8F79BD39-A17F-4D4D-8183-8836C7F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4F5"/>
  </w:style>
  <w:style w:type="paragraph" w:styleId="Heading1">
    <w:name w:val="heading 1"/>
    <w:basedOn w:val="Normal"/>
    <w:next w:val="Normal"/>
    <w:link w:val="Heading1Char"/>
    <w:uiPriority w:val="9"/>
    <w:qFormat/>
    <w:rsid w:val="00AD64F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D64F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D64F5"/>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AD64F5"/>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AD64F5"/>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AD64F5"/>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AD64F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AD64F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D64F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64F5"/>
    <w:rPr>
      <w:caps/>
      <w:spacing w:val="15"/>
      <w:shd w:val="clear" w:color="auto" w:fill="D9E2F3" w:themeFill="accent1" w:themeFillTint="33"/>
    </w:rPr>
  </w:style>
  <w:style w:type="paragraph" w:styleId="Title">
    <w:name w:val="Title"/>
    <w:basedOn w:val="Normal"/>
    <w:next w:val="Normal"/>
    <w:link w:val="TitleChar"/>
    <w:uiPriority w:val="10"/>
    <w:qFormat/>
    <w:rsid w:val="00AD64F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AD64F5"/>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AD64F5"/>
    <w:rPr>
      <w:caps/>
      <w:color w:val="FFFFFF" w:themeColor="background1"/>
      <w:spacing w:val="15"/>
      <w:sz w:val="22"/>
      <w:szCs w:val="22"/>
      <w:shd w:val="clear" w:color="auto" w:fill="4472C4" w:themeFill="accent1"/>
    </w:rPr>
  </w:style>
  <w:style w:type="table" w:styleId="TableGrid">
    <w:name w:val="Table Grid"/>
    <w:basedOn w:val="TableNormal"/>
    <w:uiPriority w:val="39"/>
    <w:rsid w:val="00FF6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D64F5"/>
    <w:rPr>
      <w:caps/>
      <w:color w:val="1F3763" w:themeColor="accent1" w:themeShade="7F"/>
      <w:spacing w:val="15"/>
    </w:rPr>
  </w:style>
  <w:style w:type="character" w:customStyle="1" w:styleId="Heading4Char">
    <w:name w:val="Heading 4 Char"/>
    <w:basedOn w:val="DefaultParagraphFont"/>
    <w:link w:val="Heading4"/>
    <w:uiPriority w:val="9"/>
    <w:semiHidden/>
    <w:rsid w:val="00AD64F5"/>
    <w:rPr>
      <w:caps/>
      <w:color w:val="2F5496" w:themeColor="accent1" w:themeShade="BF"/>
      <w:spacing w:val="10"/>
    </w:rPr>
  </w:style>
  <w:style w:type="character" w:customStyle="1" w:styleId="Heading5Char">
    <w:name w:val="Heading 5 Char"/>
    <w:basedOn w:val="DefaultParagraphFont"/>
    <w:link w:val="Heading5"/>
    <w:uiPriority w:val="9"/>
    <w:semiHidden/>
    <w:rsid w:val="00AD64F5"/>
    <w:rPr>
      <w:caps/>
      <w:color w:val="2F5496" w:themeColor="accent1" w:themeShade="BF"/>
      <w:spacing w:val="10"/>
    </w:rPr>
  </w:style>
  <w:style w:type="character" w:customStyle="1" w:styleId="Heading6Char">
    <w:name w:val="Heading 6 Char"/>
    <w:basedOn w:val="DefaultParagraphFont"/>
    <w:link w:val="Heading6"/>
    <w:uiPriority w:val="9"/>
    <w:semiHidden/>
    <w:rsid w:val="00AD64F5"/>
    <w:rPr>
      <w:caps/>
      <w:color w:val="2F5496" w:themeColor="accent1" w:themeShade="BF"/>
      <w:spacing w:val="10"/>
    </w:rPr>
  </w:style>
  <w:style w:type="character" w:customStyle="1" w:styleId="Heading7Char">
    <w:name w:val="Heading 7 Char"/>
    <w:basedOn w:val="DefaultParagraphFont"/>
    <w:link w:val="Heading7"/>
    <w:uiPriority w:val="9"/>
    <w:semiHidden/>
    <w:rsid w:val="00AD64F5"/>
    <w:rPr>
      <w:caps/>
      <w:color w:val="2F5496" w:themeColor="accent1" w:themeShade="BF"/>
      <w:spacing w:val="10"/>
    </w:rPr>
  </w:style>
  <w:style w:type="character" w:customStyle="1" w:styleId="Heading8Char">
    <w:name w:val="Heading 8 Char"/>
    <w:basedOn w:val="DefaultParagraphFont"/>
    <w:link w:val="Heading8"/>
    <w:uiPriority w:val="9"/>
    <w:semiHidden/>
    <w:rsid w:val="00AD64F5"/>
    <w:rPr>
      <w:caps/>
      <w:spacing w:val="10"/>
      <w:sz w:val="18"/>
      <w:szCs w:val="18"/>
    </w:rPr>
  </w:style>
  <w:style w:type="character" w:customStyle="1" w:styleId="Heading9Char">
    <w:name w:val="Heading 9 Char"/>
    <w:basedOn w:val="DefaultParagraphFont"/>
    <w:link w:val="Heading9"/>
    <w:uiPriority w:val="9"/>
    <w:semiHidden/>
    <w:rsid w:val="00AD64F5"/>
    <w:rPr>
      <w:i/>
      <w:iCs/>
      <w:caps/>
      <w:spacing w:val="10"/>
      <w:sz w:val="18"/>
      <w:szCs w:val="18"/>
    </w:rPr>
  </w:style>
  <w:style w:type="paragraph" w:styleId="Caption">
    <w:name w:val="caption"/>
    <w:basedOn w:val="Normal"/>
    <w:next w:val="Normal"/>
    <w:uiPriority w:val="35"/>
    <w:semiHidden/>
    <w:unhideWhenUsed/>
    <w:qFormat/>
    <w:rsid w:val="00AD64F5"/>
    <w:rPr>
      <w:b/>
      <w:bCs/>
      <w:color w:val="2F5496" w:themeColor="accent1" w:themeShade="BF"/>
      <w:sz w:val="16"/>
      <w:szCs w:val="16"/>
    </w:rPr>
  </w:style>
  <w:style w:type="paragraph" w:styleId="Subtitle">
    <w:name w:val="Subtitle"/>
    <w:basedOn w:val="Normal"/>
    <w:next w:val="Normal"/>
    <w:link w:val="SubtitleChar"/>
    <w:uiPriority w:val="11"/>
    <w:qFormat/>
    <w:rsid w:val="00AD64F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D64F5"/>
    <w:rPr>
      <w:caps/>
      <w:color w:val="595959" w:themeColor="text1" w:themeTint="A6"/>
      <w:spacing w:val="10"/>
      <w:sz w:val="21"/>
      <w:szCs w:val="21"/>
    </w:rPr>
  </w:style>
  <w:style w:type="character" w:styleId="Strong">
    <w:name w:val="Strong"/>
    <w:uiPriority w:val="22"/>
    <w:qFormat/>
    <w:rsid w:val="00AD64F5"/>
    <w:rPr>
      <w:b/>
      <w:bCs/>
    </w:rPr>
  </w:style>
  <w:style w:type="character" w:styleId="Emphasis">
    <w:name w:val="Emphasis"/>
    <w:uiPriority w:val="20"/>
    <w:qFormat/>
    <w:rsid w:val="00AD64F5"/>
    <w:rPr>
      <w:caps/>
      <w:color w:val="1F3763" w:themeColor="accent1" w:themeShade="7F"/>
      <w:spacing w:val="5"/>
    </w:rPr>
  </w:style>
  <w:style w:type="paragraph" w:styleId="NoSpacing">
    <w:name w:val="No Spacing"/>
    <w:uiPriority w:val="1"/>
    <w:qFormat/>
    <w:rsid w:val="00AD64F5"/>
    <w:pPr>
      <w:spacing w:after="0" w:line="240" w:lineRule="auto"/>
    </w:pPr>
  </w:style>
  <w:style w:type="paragraph" w:styleId="Quote">
    <w:name w:val="Quote"/>
    <w:basedOn w:val="Normal"/>
    <w:next w:val="Normal"/>
    <w:link w:val="QuoteChar"/>
    <w:uiPriority w:val="29"/>
    <w:qFormat/>
    <w:rsid w:val="00AD64F5"/>
    <w:rPr>
      <w:i/>
      <w:iCs/>
      <w:sz w:val="24"/>
      <w:szCs w:val="24"/>
    </w:rPr>
  </w:style>
  <w:style w:type="character" w:customStyle="1" w:styleId="QuoteChar">
    <w:name w:val="Quote Char"/>
    <w:basedOn w:val="DefaultParagraphFont"/>
    <w:link w:val="Quote"/>
    <w:uiPriority w:val="29"/>
    <w:rsid w:val="00AD64F5"/>
    <w:rPr>
      <w:i/>
      <w:iCs/>
      <w:sz w:val="24"/>
      <w:szCs w:val="24"/>
    </w:rPr>
  </w:style>
  <w:style w:type="paragraph" w:styleId="IntenseQuote">
    <w:name w:val="Intense Quote"/>
    <w:basedOn w:val="Normal"/>
    <w:next w:val="Normal"/>
    <w:link w:val="IntenseQuoteChar"/>
    <w:uiPriority w:val="30"/>
    <w:qFormat/>
    <w:rsid w:val="00AD64F5"/>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AD64F5"/>
    <w:rPr>
      <w:color w:val="4472C4" w:themeColor="accent1"/>
      <w:sz w:val="24"/>
      <w:szCs w:val="24"/>
    </w:rPr>
  </w:style>
  <w:style w:type="character" w:styleId="SubtleEmphasis">
    <w:name w:val="Subtle Emphasis"/>
    <w:uiPriority w:val="19"/>
    <w:qFormat/>
    <w:rsid w:val="00AD64F5"/>
    <w:rPr>
      <w:i/>
      <w:iCs/>
      <w:color w:val="1F3763" w:themeColor="accent1" w:themeShade="7F"/>
    </w:rPr>
  </w:style>
  <w:style w:type="character" w:styleId="IntenseEmphasis">
    <w:name w:val="Intense Emphasis"/>
    <w:uiPriority w:val="21"/>
    <w:qFormat/>
    <w:rsid w:val="00AD64F5"/>
    <w:rPr>
      <w:b/>
      <w:bCs/>
      <w:caps/>
      <w:color w:val="1F3763" w:themeColor="accent1" w:themeShade="7F"/>
      <w:spacing w:val="10"/>
    </w:rPr>
  </w:style>
  <w:style w:type="character" w:styleId="SubtleReference">
    <w:name w:val="Subtle Reference"/>
    <w:uiPriority w:val="31"/>
    <w:qFormat/>
    <w:rsid w:val="00AD64F5"/>
    <w:rPr>
      <w:b/>
      <w:bCs/>
      <w:color w:val="4472C4" w:themeColor="accent1"/>
    </w:rPr>
  </w:style>
  <w:style w:type="character" w:styleId="IntenseReference">
    <w:name w:val="Intense Reference"/>
    <w:uiPriority w:val="32"/>
    <w:qFormat/>
    <w:rsid w:val="00AD64F5"/>
    <w:rPr>
      <w:b/>
      <w:bCs/>
      <w:i/>
      <w:iCs/>
      <w:caps/>
      <w:color w:val="4472C4" w:themeColor="accent1"/>
    </w:rPr>
  </w:style>
  <w:style w:type="character" w:styleId="BookTitle">
    <w:name w:val="Book Title"/>
    <w:uiPriority w:val="33"/>
    <w:qFormat/>
    <w:rsid w:val="00AD64F5"/>
    <w:rPr>
      <w:b/>
      <w:bCs/>
      <w:i/>
      <w:iCs/>
      <w:spacing w:val="0"/>
    </w:rPr>
  </w:style>
  <w:style w:type="paragraph" w:styleId="TOCHeading">
    <w:name w:val="TOC Heading"/>
    <w:basedOn w:val="Heading1"/>
    <w:next w:val="Normal"/>
    <w:uiPriority w:val="39"/>
    <w:semiHidden/>
    <w:unhideWhenUsed/>
    <w:qFormat/>
    <w:rsid w:val="00AD64F5"/>
    <w:pPr>
      <w:outlineLvl w:val="9"/>
    </w:pPr>
  </w:style>
  <w:style w:type="character" w:customStyle="1" w:styleId="eop">
    <w:name w:val="eop"/>
    <w:basedOn w:val="DefaultParagraphFont"/>
    <w:rsid w:val="0098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3677">
      <w:bodyDiv w:val="1"/>
      <w:marLeft w:val="0"/>
      <w:marRight w:val="0"/>
      <w:marTop w:val="0"/>
      <w:marBottom w:val="0"/>
      <w:divBdr>
        <w:top w:val="none" w:sz="0" w:space="0" w:color="auto"/>
        <w:left w:val="none" w:sz="0" w:space="0" w:color="auto"/>
        <w:bottom w:val="none" w:sz="0" w:space="0" w:color="auto"/>
        <w:right w:val="none" w:sz="0" w:space="0" w:color="auto"/>
      </w:divBdr>
    </w:div>
    <w:div w:id="139269596">
      <w:bodyDiv w:val="1"/>
      <w:marLeft w:val="0"/>
      <w:marRight w:val="0"/>
      <w:marTop w:val="0"/>
      <w:marBottom w:val="0"/>
      <w:divBdr>
        <w:top w:val="none" w:sz="0" w:space="0" w:color="auto"/>
        <w:left w:val="none" w:sz="0" w:space="0" w:color="auto"/>
        <w:bottom w:val="none" w:sz="0" w:space="0" w:color="auto"/>
        <w:right w:val="none" w:sz="0" w:space="0" w:color="auto"/>
      </w:divBdr>
    </w:div>
    <w:div w:id="604114154">
      <w:bodyDiv w:val="1"/>
      <w:marLeft w:val="0"/>
      <w:marRight w:val="0"/>
      <w:marTop w:val="0"/>
      <w:marBottom w:val="0"/>
      <w:divBdr>
        <w:top w:val="none" w:sz="0" w:space="0" w:color="auto"/>
        <w:left w:val="none" w:sz="0" w:space="0" w:color="auto"/>
        <w:bottom w:val="none" w:sz="0" w:space="0" w:color="auto"/>
        <w:right w:val="none" w:sz="0" w:space="0" w:color="auto"/>
      </w:divBdr>
    </w:div>
    <w:div w:id="751586702">
      <w:bodyDiv w:val="1"/>
      <w:marLeft w:val="0"/>
      <w:marRight w:val="0"/>
      <w:marTop w:val="0"/>
      <w:marBottom w:val="0"/>
      <w:divBdr>
        <w:top w:val="none" w:sz="0" w:space="0" w:color="auto"/>
        <w:left w:val="none" w:sz="0" w:space="0" w:color="auto"/>
        <w:bottom w:val="none" w:sz="0" w:space="0" w:color="auto"/>
        <w:right w:val="none" w:sz="0" w:space="0" w:color="auto"/>
      </w:divBdr>
    </w:div>
    <w:div w:id="806704458">
      <w:bodyDiv w:val="1"/>
      <w:marLeft w:val="0"/>
      <w:marRight w:val="0"/>
      <w:marTop w:val="0"/>
      <w:marBottom w:val="0"/>
      <w:divBdr>
        <w:top w:val="none" w:sz="0" w:space="0" w:color="auto"/>
        <w:left w:val="none" w:sz="0" w:space="0" w:color="auto"/>
        <w:bottom w:val="none" w:sz="0" w:space="0" w:color="auto"/>
        <w:right w:val="none" w:sz="0" w:space="0" w:color="auto"/>
      </w:divBdr>
    </w:div>
    <w:div w:id="986665222">
      <w:bodyDiv w:val="1"/>
      <w:marLeft w:val="0"/>
      <w:marRight w:val="0"/>
      <w:marTop w:val="0"/>
      <w:marBottom w:val="0"/>
      <w:divBdr>
        <w:top w:val="none" w:sz="0" w:space="0" w:color="auto"/>
        <w:left w:val="none" w:sz="0" w:space="0" w:color="auto"/>
        <w:bottom w:val="none" w:sz="0" w:space="0" w:color="auto"/>
        <w:right w:val="none" w:sz="0" w:space="0" w:color="auto"/>
      </w:divBdr>
    </w:div>
    <w:div w:id="1151949772">
      <w:bodyDiv w:val="1"/>
      <w:marLeft w:val="0"/>
      <w:marRight w:val="0"/>
      <w:marTop w:val="0"/>
      <w:marBottom w:val="0"/>
      <w:divBdr>
        <w:top w:val="none" w:sz="0" w:space="0" w:color="auto"/>
        <w:left w:val="none" w:sz="0" w:space="0" w:color="auto"/>
        <w:bottom w:val="none" w:sz="0" w:space="0" w:color="auto"/>
        <w:right w:val="none" w:sz="0" w:space="0" w:color="auto"/>
      </w:divBdr>
    </w:div>
    <w:div w:id="1293637557">
      <w:bodyDiv w:val="1"/>
      <w:marLeft w:val="0"/>
      <w:marRight w:val="0"/>
      <w:marTop w:val="0"/>
      <w:marBottom w:val="0"/>
      <w:divBdr>
        <w:top w:val="none" w:sz="0" w:space="0" w:color="auto"/>
        <w:left w:val="none" w:sz="0" w:space="0" w:color="auto"/>
        <w:bottom w:val="none" w:sz="0" w:space="0" w:color="auto"/>
        <w:right w:val="none" w:sz="0" w:space="0" w:color="auto"/>
      </w:divBdr>
    </w:div>
    <w:div w:id="1380518893">
      <w:bodyDiv w:val="1"/>
      <w:marLeft w:val="0"/>
      <w:marRight w:val="0"/>
      <w:marTop w:val="0"/>
      <w:marBottom w:val="0"/>
      <w:divBdr>
        <w:top w:val="none" w:sz="0" w:space="0" w:color="auto"/>
        <w:left w:val="none" w:sz="0" w:space="0" w:color="auto"/>
        <w:bottom w:val="none" w:sz="0" w:space="0" w:color="auto"/>
        <w:right w:val="none" w:sz="0" w:space="0" w:color="auto"/>
      </w:divBdr>
    </w:div>
    <w:div w:id="1484732715">
      <w:bodyDiv w:val="1"/>
      <w:marLeft w:val="0"/>
      <w:marRight w:val="0"/>
      <w:marTop w:val="0"/>
      <w:marBottom w:val="0"/>
      <w:divBdr>
        <w:top w:val="none" w:sz="0" w:space="0" w:color="auto"/>
        <w:left w:val="none" w:sz="0" w:space="0" w:color="auto"/>
        <w:bottom w:val="none" w:sz="0" w:space="0" w:color="auto"/>
        <w:right w:val="none" w:sz="0" w:space="0" w:color="auto"/>
      </w:divBdr>
    </w:div>
    <w:div w:id="1509366991">
      <w:bodyDiv w:val="1"/>
      <w:marLeft w:val="0"/>
      <w:marRight w:val="0"/>
      <w:marTop w:val="0"/>
      <w:marBottom w:val="0"/>
      <w:divBdr>
        <w:top w:val="none" w:sz="0" w:space="0" w:color="auto"/>
        <w:left w:val="none" w:sz="0" w:space="0" w:color="auto"/>
        <w:bottom w:val="none" w:sz="0" w:space="0" w:color="auto"/>
        <w:right w:val="none" w:sz="0" w:space="0" w:color="auto"/>
      </w:divBdr>
    </w:div>
    <w:div w:id="1512839043">
      <w:bodyDiv w:val="1"/>
      <w:marLeft w:val="0"/>
      <w:marRight w:val="0"/>
      <w:marTop w:val="0"/>
      <w:marBottom w:val="0"/>
      <w:divBdr>
        <w:top w:val="none" w:sz="0" w:space="0" w:color="auto"/>
        <w:left w:val="none" w:sz="0" w:space="0" w:color="auto"/>
        <w:bottom w:val="none" w:sz="0" w:space="0" w:color="auto"/>
        <w:right w:val="none" w:sz="0" w:space="0" w:color="auto"/>
      </w:divBdr>
    </w:div>
    <w:div w:id="1570382870">
      <w:bodyDiv w:val="1"/>
      <w:marLeft w:val="0"/>
      <w:marRight w:val="0"/>
      <w:marTop w:val="0"/>
      <w:marBottom w:val="0"/>
      <w:divBdr>
        <w:top w:val="none" w:sz="0" w:space="0" w:color="auto"/>
        <w:left w:val="none" w:sz="0" w:space="0" w:color="auto"/>
        <w:bottom w:val="none" w:sz="0" w:space="0" w:color="auto"/>
        <w:right w:val="none" w:sz="0" w:space="0" w:color="auto"/>
      </w:divBdr>
    </w:div>
    <w:div w:id="160322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Greenwood</dc:creator>
  <cp:keywords/>
  <dc:description/>
  <cp:lastModifiedBy>Alexandra Greenwood</cp:lastModifiedBy>
  <cp:revision>98</cp:revision>
  <dcterms:created xsi:type="dcterms:W3CDTF">2023-12-05T19:19:00Z</dcterms:created>
  <dcterms:modified xsi:type="dcterms:W3CDTF">2023-12-15T14:01:00Z</dcterms:modified>
</cp:coreProperties>
</file>